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E1F0" w14:textId="39A89409" w:rsidR="005D30B8" w:rsidRPr="00023EA4" w:rsidRDefault="00B57820" w:rsidP="00BB3CFA">
      <w:pPr>
        <w:spacing w:after="0" w:line="240" w:lineRule="auto"/>
        <w:rPr>
          <w:rFonts w:ascii="Calibri" w:hAnsi="Calibri" w:cs="Calibri"/>
          <w:sz w:val="18"/>
          <w:szCs w:val="18"/>
        </w:rPr>
      </w:pPr>
      <w:r w:rsidRPr="00023EA4">
        <w:rPr>
          <w:rFonts w:ascii="Calibri" w:hAnsi="Calibri" w:cs="Calibri"/>
          <w:noProof/>
          <w:sz w:val="22"/>
          <w:szCs w:val="22"/>
        </w:rPr>
        <mc:AlternateContent>
          <mc:Choice Requires="wps">
            <w:drawing>
              <wp:anchor distT="45720" distB="45720" distL="114300" distR="114300" simplePos="0" relativeHeight="251664384" behindDoc="0" locked="0" layoutInCell="1" allowOverlap="1" wp14:anchorId="0559BFE3" wp14:editId="4D68A210">
                <wp:simplePos x="0" y="0"/>
                <wp:positionH relativeFrom="margin">
                  <wp:posOffset>5073015</wp:posOffset>
                </wp:positionH>
                <wp:positionV relativeFrom="paragraph">
                  <wp:posOffset>-114300</wp:posOffset>
                </wp:positionV>
                <wp:extent cx="1543050" cy="539750"/>
                <wp:effectExtent l="0" t="0" r="0" b="0"/>
                <wp:wrapNone/>
                <wp:docPr id="603730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750"/>
                        </a:xfrm>
                        <a:prstGeom prst="rect">
                          <a:avLst/>
                        </a:prstGeom>
                        <a:solidFill>
                          <a:srgbClr val="FFFFFF"/>
                        </a:solidFill>
                        <a:ln w="9525">
                          <a:noFill/>
                          <a:miter lim="800000"/>
                          <a:headEnd/>
                          <a:tailEnd/>
                        </a:ln>
                      </wps:spPr>
                      <wps:txbx>
                        <w:txbxContent>
                          <w:p w14:paraId="0CCB1FC9" w14:textId="0FA148C3" w:rsidR="00BB3CFA" w:rsidRPr="005D30B8" w:rsidRDefault="00AB10A6" w:rsidP="008930E4">
                            <w:pPr>
                              <w:pBdr>
                                <w:bottom w:val="single" w:sz="4" w:space="20" w:color="auto"/>
                              </w:pBdr>
                              <w:spacing w:after="0" w:line="240" w:lineRule="auto"/>
                              <w:jc w:val="right"/>
                              <w:rPr>
                                <w:rFonts w:ascii="Calibri" w:hAnsi="Calibri" w:cs="Calibri"/>
                                <w:b/>
                                <w:bCs/>
                              </w:rPr>
                            </w:pPr>
                            <w:r>
                              <w:rPr>
                                <w:rFonts w:ascii="Calibri" w:hAnsi="Calibri" w:cs="Calibri"/>
                                <w:b/>
                                <w:bCs/>
                                <w:sz w:val="22"/>
                                <w:szCs w:val="22"/>
                              </w:rPr>
                              <w:t>COMMUNITY SERVICES</w:t>
                            </w:r>
                          </w:p>
                          <w:p w14:paraId="48E82A27" w14:textId="0E3576CA" w:rsidR="00CC1829" w:rsidRPr="00CC1829" w:rsidRDefault="00EC0123" w:rsidP="008930E4">
                            <w:pPr>
                              <w:pBdr>
                                <w:bottom w:val="single" w:sz="4" w:space="20" w:color="auto"/>
                              </w:pBdr>
                              <w:jc w:val="right"/>
                              <w:rPr>
                                <w:rFonts w:ascii="Calibri" w:hAnsi="Calibri" w:cs="Calibri"/>
                                <w:sz w:val="18"/>
                                <w:szCs w:val="18"/>
                              </w:rPr>
                            </w:pPr>
                            <w:r>
                              <w:rPr>
                                <w:rFonts w:ascii="Calibri" w:hAnsi="Calibri" w:cs="Calibri"/>
                                <w:sz w:val="18"/>
                                <w:szCs w:val="18"/>
                              </w:rPr>
                              <w:t>WCCS-75000-86</w:t>
                            </w:r>
                            <w:r w:rsidR="002B641A">
                              <w:rPr>
                                <w:rFonts w:ascii="Calibri" w:hAnsi="Calibri" w:cs="Calibri"/>
                                <w:sz w:val="18"/>
                                <w:szCs w:val="18"/>
                              </w:rPr>
                              <w:t xml:space="preserve"> (</w:t>
                            </w:r>
                            <w:r>
                              <w:rPr>
                                <w:rFonts w:ascii="Calibri" w:hAnsi="Calibri" w:cs="Calibri"/>
                                <w:sz w:val="18"/>
                                <w:szCs w:val="18"/>
                              </w:rPr>
                              <w:t>10-25</w:t>
                            </w:r>
                            <w:r w:rsidR="002B641A">
                              <w:rPr>
                                <w:rFonts w:ascii="Calibri" w:hAnsi="Calibri" w:cs="Calibri"/>
                                <w:sz w:val="18"/>
                                <w:szCs w:val="18"/>
                              </w:rPr>
                              <w: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559BFE3" id="_x0000_t202" coordsize="21600,21600" o:spt="202" path="m,l,21600r21600,l21600,xe">
                <v:stroke joinstyle="miter"/>
                <v:path gradientshapeok="t" o:connecttype="rect"/>
              </v:shapetype>
              <v:shape id="Text Box 2" o:spid="_x0000_s1026" type="#_x0000_t202" style="position:absolute;margin-left:399.45pt;margin-top:-9pt;width:121.5pt;height: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" stroked="f">
                <v:textbox>
                  <w:txbxContent>
                    <w:p w14:paraId="0CCB1FC9" w14:textId="0FA148C3" w:rsidR="00BB3CFA" w:rsidRPr="005D30B8" w:rsidRDefault="00AB10A6" w:rsidP="008930E4">
                      <w:pPr>
                        <w:pBdr>
                          <w:bottom w:val="single" w:sz="4" w:space="20" w:color="auto"/>
                        </w:pBdr>
                        <w:spacing w:after="0" w:line="240" w:lineRule="auto"/>
                        <w:jc w:val="right"/>
                        <w:rPr>
                          <w:rFonts w:ascii="Calibri" w:hAnsi="Calibri" w:cs="Calibri"/>
                          <w:b/>
                          <w:bCs/>
                        </w:rPr>
                      </w:pPr>
                      <w:r>
                        <w:rPr>
                          <w:rFonts w:ascii="Calibri" w:hAnsi="Calibri" w:cs="Calibri"/>
                          <w:b/>
                          <w:bCs/>
                          <w:sz w:val="22"/>
                          <w:szCs w:val="22"/>
                        </w:rPr>
                        <w:t>COMMUNITY SERVICES</w:t>
                      </w:r>
                    </w:p>
                    <w:p w14:paraId="48E82A27" w14:textId="0E3576CA" w:rsidR="00CC1829" w:rsidRPr="00CC1829" w:rsidRDefault="00EC0123" w:rsidP="008930E4">
                      <w:pPr>
                        <w:pBdr>
                          <w:bottom w:val="single" w:sz="4" w:space="20" w:color="auto"/>
                        </w:pBdr>
                        <w:jc w:val="right"/>
                        <w:rPr>
                          <w:rFonts w:ascii="Calibri" w:hAnsi="Calibri" w:cs="Calibri"/>
                          <w:sz w:val="18"/>
                          <w:szCs w:val="18"/>
                        </w:rPr>
                      </w:pPr>
                      <w:r>
                        <w:rPr>
                          <w:rFonts w:ascii="Calibri" w:hAnsi="Calibri" w:cs="Calibri"/>
                          <w:sz w:val="18"/>
                          <w:szCs w:val="18"/>
                        </w:rPr>
                        <w:t>WCCS-75000-86</w:t>
                      </w:r>
                      <w:r w:rsidR="002B641A">
                        <w:rPr>
                          <w:rFonts w:ascii="Calibri" w:hAnsi="Calibri" w:cs="Calibri"/>
                          <w:sz w:val="18"/>
                          <w:szCs w:val="18"/>
                        </w:rPr>
                        <w:t xml:space="preserve"> (</w:t>
                      </w:r>
                      <w:r>
                        <w:rPr>
                          <w:rFonts w:ascii="Calibri" w:hAnsi="Calibri" w:cs="Calibri"/>
                          <w:sz w:val="18"/>
                          <w:szCs w:val="18"/>
                        </w:rPr>
                        <w:t>10-25</w:t>
                      </w:r>
                      <w:r w:rsidR="002B641A">
                        <w:rPr>
                          <w:rFonts w:ascii="Calibri" w:hAnsi="Calibri" w:cs="Calibri"/>
                          <w:sz w:val="18"/>
                          <w:szCs w:val="18"/>
                        </w:rPr>
                        <w:t>)</w:t>
                      </w:r>
                    </w:p>
                  </w:txbxContent>
                </v:textbox>
                <w10:wrap anchorx="margin"/>
              </v:shape>
            </w:pict>
          </mc:Fallback>
        </mc:AlternateContent>
      </w:r>
      <w:r w:rsidR="0026297B" w:rsidRPr="00023EA4">
        <w:rPr>
          <w:rFonts w:ascii="Calibri" w:hAnsi="Calibri" w:cs="Calibri"/>
          <w:b/>
          <w:bCs/>
          <w:noProof/>
          <w:sz w:val="22"/>
          <w:szCs w:val="22"/>
        </w:rPr>
        <w:drawing>
          <wp:anchor distT="0" distB="0" distL="114300" distR="114300" simplePos="0" relativeHeight="251666432" behindDoc="0" locked="0" layoutInCell="1" allowOverlap="1" wp14:anchorId="58D35E10" wp14:editId="2509F2D6">
            <wp:simplePos x="0" y="0"/>
            <wp:positionH relativeFrom="margin">
              <wp:align>left</wp:align>
            </wp:positionH>
            <wp:positionV relativeFrom="paragraph">
              <wp:posOffset>-223520</wp:posOffset>
            </wp:positionV>
            <wp:extent cx="1514475" cy="551180"/>
            <wp:effectExtent l="0" t="0" r="0" b="1270"/>
            <wp:wrapNone/>
            <wp:docPr id="5371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9342" name="Picture 1"/>
                    <pic:cNvPicPr/>
                  </pic:nvPicPr>
                  <pic:blipFill rotWithShape="1">
                    <a:blip r:embed="rId11" cstate="print">
                      <a:extLst>
                        <a:ext uri="{28A0092B-C50C-407E-A947-70E740481C1C}">
                          <a14:useLocalDpi xmlns:a14="http://schemas.microsoft.com/office/drawing/2010/main" val="0"/>
                        </a:ext>
                      </a:extLst>
                    </a:blip>
                    <a:srcRect r="51398"/>
                    <a:stretch>
                      <a:fillRect/>
                    </a:stretch>
                  </pic:blipFill>
                  <pic:spPr bwMode="auto">
                    <a:xfrm>
                      <a:off x="0" y="0"/>
                      <a:ext cx="1515335" cy="5514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E14E71" w14:textId="04027512" w:rsidR="00BB3CFA" w:rsidRPr="00023EA4" w:rsidRDefault="00BB3CFA" w:rsidP="008924E1">
      <w:pPr>
        <w:spacing w:after="0" w:line="240" w:lineRule="auto"/>
        <w:rPr>
          <w:rFonts w:ascii="Calibri" w:hAnsi="Calibri" w:cs="Calibri"/>
          <w:sz w:val="18"/>
          <w:szCs w:val="18"/>
        </w:rPr>
      </w:pPr>
    </w:p>
    <w:p w14:paraId="7FDA764E" w14:textId="77777777" w:rsidR="00023EA4" w:rsidRPr="00023EA4" w:rsidRDefault="00023EA4" w:rsidP="008924E1">
      <w:pPr>
        <w:spacing w:after="0" w:line="240" w:lineRule="auto"/>
        <w:rPr>
          <w:rFonts w:ascii="Calibri" w:hAnsi="Calibri" w:cs="Calibri"/>
          <w:sz w:val="22"/>
          <w:szCs w:val="22"/>
        </w:rPr>
      </w:pPr>
    </w:p>
    <w:p w14:paraId="4F849F81" w14:textId="77777777" w:rsidR="00023EA4" w:rsidRPr="00023EA4" w:rsidRDefault="00023EA4" w:rsidP="00023EA4">
      <w:pPr>
        <w:widowControl w:val="0"/>
        <w:autoSpaceDE w:val="0"/>
        <w:autoSpaceDN w:val="0"/>
        <w:adjustRightInd w:val="0"/>
        <w:spacing w:after="0" w:line="240" w:lineRule="auto"/>
        <w:jc w:val="center"/>
        <w:rPr>
          <w:rFonts w:ascii="Calibri" w:eastAsia="Times New Roman" w:hAnsi="Calibri" w:cs="Calibri"/>
          <w:kern w:val="0"/>
          <w:sz w:val="22"/>
          <w:szCs w:val="22"/>
          <w14:ligatures w14:val="none"/>
        </w:rPr>
      </w:pPr>
      <w:r w:rsidRPr="00023EA4">
        <w:rPr>
          <w:rFonts w:ascii="Calibri" w:eastAsia="Times New Roman" w:hAnsi="Calibri" w:cs="Calibri"/>
          <w:kern w:val="0"/>
          <w:sz w:val="22"/>
          <w:szCs w:val="22"/>
          <w14:ligatures w14:val="none"/>
        </w:rPr>
        <w:t>Family Support Grant</w:t>
      </w:r>
    </w:p>
    <w:p w14:paraId="2DE806E9" w14:textId="77777777" w:rsidR="00023EA4" w:rsidRPr="00023EA4" w:rsidRDefault="00023EA4" w:rsidP="00023EA4">
      <w:pPr>
        <w:widowControl w:val="0"/>
        <w:autoSpaceDE w:val="0"/>
        <w:autoSpaceDN w:val="0"/>
        <w:adjustRightInd w:val="0"/>
        <w:spacing w:after="0" w:line="240" w:lineRule="auto"/>
        <w:jc w:val="center"/>
        <w:rPr>
          <w:rFonts w:ascii="Calibri" w:eastAsia="Times New Roman" w:hAnsi="Calibri" w:cs="Calibri"/>
          <w:b/>
          <w:kern w:val="0"/>
          <w:sz w:val="26"/>
          <w:szCs w:val="26"/>
          <w14:ligatures w14:val="none"/>
        </w:rPr>
      </w:pPr>
      <w:r w:rsidRPr="00023EA4">
        <w:rPr>
          <w:rFonts w:ascii="Calibri" w:eastAsia="Times New Roman" w:hAnsi="Calibri" w:cs="Calibri"/>
          <w:b/>
          <w:kern w:val="0"/>
          <w:sz w:val="26"/>
          <w:szCs w:val="26"/>
          <w14:ligatures w14:val="none"/>
        </w:rPr>
        <w:t>Expense Category Definitions</w:t>
      </w:r>
    </w:p>
    <w:p w14:paraId="395DD377" w14:textId="77777777" w:rsidR="00023EA4" w:rsidRPr="00023EA4" w:rsidRDefault="00023EA4" w:rsidP="00023EA4">
      <w:pPr>
        <w:widowControl w:val="0"/>
        <w:autoSpaceDE w:val="0"/>
        <w:autoSpaceDN w:val="0"/>
        <w:adjustRightInd w:val="0"/>
        <w:spacing w:after="0" w:line="240" w:lineRule="auto"/>
        <w:jc w:val="center"/>
        <w:rPr>
          <w:rFonts w:ascii="Calibri" w:eastAsia="Times New Roman" w:hAnsi="Calibri" w:cs="Calibri"/>
          <w:b/>
          <w:kern w:val="0"/>
          <w:sz w:val="32"/>
          <w:szCs w:val="32"/>
          <w14:ligatures w14:val="none"/>
        </w:rPr>
      </w:pPr>
    </w:p>
    <w:p w14:paraId="3D423D80" w14:textId="307C20FA" w:rsidR="00023EA4" w:rsidRPr="00023EA4" w:rsidRDefault="00023EA4" w:rsidP="00023EA4">
      <w:pPr>
        <w:widowControl w:val="0"/>
        <w:autoSpaceDE w:val="0"/>
        <w:autoSpaceDN w:val="0"/>
        <w:adjustRightInd w:val="0"/>
        <w:spacing w:line="240" w:lineRule="auto"/>
        <w:jc w:val="both"/>
        <w:rPr>
          <w:rFonts w:ascii="Calibri" w:eastAsia="Times New Roman" w:hAnsi="Calibri" w:cs="Calibri"/>
          <w:b/>
          <w:i/>
          <w:kern w:val="0"/>
          <w:sz w:val="22"/>
          <w:szCs w:val="22"/>
          <w14:ligatures w14:val="none"/>
        </w:rPr>
      </w:pPr>
      <w:r w:rsidRPr="00023EA4">
        <w:rPr>
          <w:rFonts w:ascii="Calibri" w:eastAsia="Times New Roman" w:hAnsi="Calibri" w:cs="Calibri"/>
          <w:b/>
          <w:i/>
          <w:kern w:val="0"/>
          <w:sz w:val="22"/>
          <w:szCs w:val="22"/>
          <w14:ligatures w14:val="none"/>
        </w:rPr>
        <w:t xml:space="preserve">Family Support Grant funds can be used </w:t>
      </w:r>
      <w:r w:rsidR="001E2743" w:rsidRPr="00023EA4">
        <w:rPr>
          <w:rFonts w:ascii="Calibri" w:eastAsia="Times New Roman" w:hAnsi="Calibri" w:cs="Calibri"/>
          <w:b/>
          <w:i/>
          <w:kern w:val="0"/>
          <w:sz w:val="22"/>
          <w:szCs w:val="22"/>
          <w14:ligatures w14:val="none"/>
        </w:rPr>
        <w:t>in</w:t>
      </w:r>
      <w:r w:rsidRPr="00023EA4">
        <w:rPr>
          <w:rFonts w:ascii="Calibri" w:eastAsia="Times New Roman" w:hAnsi="Calibri" w:cs="Calibri"/>
          <w:b/>
          <w:i/>
          <w:kern w:val="0"/>
          <w:sz w:val="22"/>
          <w:szCs w:val="22"/>
          <w14:ligatures w14:val="none"/>
        </w:rPr>
        <w:t xml:space="preserve"> the following categories:</w:t>
      </w:r>
    </w:p>
    <w:p w14:paraId="7932A1EB" w14:textId="485AC87F"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 xml:space="preserve">Day Care: </w:t>
      </w:r>
      <w:r w:rsidRPr="00023EA4">
        <w:rPr>
          <w:rFonts w:ascii="Calibri" w:eastAsia="Times New Roman" w:hAnsi="Calibri" w:cs="Calibri"/>
          <w:kern w:val="0"/>
          <w:sz w:val="22"/>
          <w:szCs w:val="22"/>
          <w14:ligatures w14:val="none"/>
        </w:rPr>
        <w:t xml:space="preserve">After school or weekend childcare expenses for children who, because of their disabilities, </w:t>
      </w:r>
      <w:proofErr w:type="gramStart"/>
      <w:r w:rsidRPr="00023EA4">
        <w:rPr>
          <w:rFonts w:ascii="Calibri" w:eastAsia="Times New Roman" w:hAnsi="Calibri" w:cs="Calibri"/>
          <w:kern w:val="0"/>
          <w:sz w:val="22"/>
          <w:szCs w:val="22"/>
          <w14:ligatures w14:val="none"/>
        </w:rPr>
        <w:t>are not able to</w:t>
      </w:r>
      <w:proofErr w:type="gramEnd"/>
      <w:r w:rsidRPr="00023EA4">
        <w:rPr>
          <w:rFonts w:ascii="Calibri" w:eastAsia="Times New Roman" w:hAnsi="Calibri" w:cs="Calibri"/>
          <w:kern w:val="0"/>
          <w:sz w:val="22"/>
          <w:szCs w:val="22"/>
          <w14:ligatures w14:val="none"/>
        </w:rPr>
        <w:t xml:space="preserve"> remain at home unsupervised as would similar-aged children without disabilities, are allowed.</w:t>
      </w:r>
    </w:p>
    <w:p w14:paraId="59E1B669" w14:textId="4EAA6854"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Educational:</w:t>
      </w:r>
      <w:r w:rsidRPr="00023EA4">
        <w:rPr>
          <w:rFonts w:ascii="Calibri" w:eastAsia="Times New Roman" w:hAnsi="Calibri" w:cs="Calibri"/>
          <w:kern w:val="0"/>
          <w:sz w:val="22"/>
          <w:szCs w:val="22"/>
          <w14:ligatures w14:val="none"/>
        </w:rPr>
        <w:t xml:space="preserve"> This category includes the costs of educational programs and services that are not available through the </w:t>
      </w:r>
      <w:proofErr w:type="gramStart"/>
      <w:r w:rsidRPr="00023EA4">
        <w:rPr>
          <w:rFonts w:ascii="Calibri" w:eastAsia="Times New Roman" w:hAnsi="Calibri" w:cs="Calibri"/>
          <w:kern w:val="0"/>
          <w:sz w:val="22"/>
          <w:szCs w:val="22"/>
          <w14:ligatures w14:val="none"/>
        </w:rPr>
        <w:t>child’s local</w:t>
      </w:r>
      <w:proofErr w:type="gramEnd"/>
      <w:r w:rsidRPr="00023EA4">
        <w:rPr>
          <w:rFonts w:ascii="Calibri" w:eastAsia="Times New Roman" w:hAnsi="Calibri" w:cs="Calibri"/>
          <w:kern w:val="0"/>
          <w:sz w:val="22"/>
          <w:szCs w:val="22"/>
          <w14:ligatures w14:val="none"/>
        </w:rPr>
        <w:t xml:space="preserve"> education agency or are necessary in addition to those provided by other sources. Fees for consultation with professionals from private agencies, local parent training programs, and costs for direct service professionals or paraprofessionals coming into the home for the purpose of addressing problems with excess behavior, adaptive skill deficits, and other need areas are examples of items which have been reimbursed in the past. Items which parents would either be expected to provide or have the option of providing if their child did not have a disability are not allowable. The cost of specialized computer software, modifications, or other adaptive devices which are necessary to enable a child with disabilities to use a computer may be covered under this category.</w:t>
      </w:r>
    </w:p>
    <w:p w14:paraId="3199441C" w14:textId="6B374CC3"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 xml:space="preserve">Home Mods/Adaptive Items: </w:t>
      </w:r>
      <w:r w:rsidRPr="00023EA4">
        <w:rPr>
          <w:rFonts w:ascii="Calibri" w:eastAsia="Times New Roman" w:hAnsi="Calibri" w:cs="Calibri"/>
          <w:kern w:val="0"/>
          <w:sz w:val="22"/>
          <w:szCs w:val="22"/>
          <w14:ligatures w14:val="none"/>
        </w:rPr>
        <w:t xml:space="preserve">Please consult with your case manager on coverage for these items. School or OT recommendation letters to support these may be required prior to approval.  If you do not have a county case manager, please email </w:t>
      </w:r>
      <w:hyperlink r:id="rId12" w:history="1">
        <w:r w:rsidRPr="00023EA4">
          <w:rPr>
            <w:rFonts w:ascii="Calibri" w:eastAsia="Times New Roman" w:hAnsi="Calibri" w:cs="Calibri"/>
            <w:color w:val="0563C1"/>
            <w:kern w:val="0"/>
            <w:sz w:val="22"/>
            <w:szCs w:val="22"/>
            <w:u w:val="single"/>
            <w14:ligatures w14:val="none"/>
          </w:rPr>
          <w:t>ComSvsFamilySupportGrant@washingtoncountymn.gov</w:t>
        </w:r>
      </w:hyperlink>
      <w:r w:rsidRPr="00023EA4">
        <w:rPr>
          <w:rFonts w:ascii="Calibri" w:eastAsia="Times New Roman" w:hAnsi="Calibri" w:cs="Calibri"/>
          <w:kern w:val="0"/>
          <w:sz w:val="22"/>
          <w:szCs w:val="22"/>
          <w14:ligatures w14:val="none"/>
        </w:rPr>
        <w:t>.</w:t>
      </w:r>
    </w:p>
    <w:p w14:paraId="49ED8327" w14:textId="094B79B2"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Medical:</w:t>
      </w:r>
      <w:r w:rsidRPr="00023EA4">
        <w:rPr>
          <w:rFonts w:ascii="Calibri" w:eastAsia="Times New Roman" w:hAnsi="Calibri" w:cs="Calibri"/>
          <w:kern w:val="0"/>
          <w:sz w:val="22"/>
          <w:szCs w:val="22"/>
          <w14:ligatures w14:val="none"/>
        </w:rPr>
        <w:t xml:space="preserve"> Allowable medical expenses are those which are not reimbursable through private insurance, Medical Assistance, or other social service funds. Since the availability of Medical Assistance (MA), through TEFRA, very few medical expenses still qualify through Family Support Grant Program (FSGP). FSG funds can be used to pay for medical bills incurred prior to MA eligibility and/or expenses that are </w:t>
      </w:r>
      <w:proofErr w:type="gramStart"/>
      <w:r w:rsidRPr="00023EA4">
        <w:rPr>
          <w:rFonts w:ascii="Calibri" w:eastAsia="Times New Roman" w:hAnsi="Calibri" w:cs="Calibri"/>
          <w:kern w:val="0"/>
          <w:sz w:val="22"/>
          <w:szCs w:val="22"/>
          <w14:ligatures w14:val="none"/>
        </w:rPr>
        <w:t>in excess of</w:t>
      </w:r>
      <w:proofErr w:type="gramEnd"/>
      <w:r w:rsidRPr="00023EA4">
        <w:rPr>
          <w:rFonts w:ascii="Calibri" w:eastAsia="Times New Roman" w:hAnsi="Calibri" w:cs="Calibri"/>
          <w:kern w:val="0"/>
          <w:sz w:val="22"/>
          <w:szCs w:val="22"/>
          <w14:ligatures w14:val="none"/>
        </w:rPr>
        <w:t xml:space="preserve"> that covered by the family’s private insurance when the recipient has been determined to be ineligible for MA. The Family Support Grant cannot be used to pay parental fees assessed to families using TEFRA.</w:t>
      </w:r>
    </w:p>
    <w:p w14:paraId="5ACCB402" w14:textId="0B38D4CB"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Medication:</w:t>
      </w:r>
      <w:r w:rsidRPr="00023EA4">
        <w:rPr>
          <w:rFonts w:ascii="Calibri" w:eastAsia="Times New Roman" w:hAnsi="Calibri" w:cs="Calibri"/>
          <w:kern w:val="0"/>
          <w:sz w:val="22"/>
          <w:szCs w:val="22"/>
          <w14:ligatures w14:val="none"/>
        </w:rPr>
        <w:t xml:space="preserve"> Medication expenses include costs for prescription and non-prescription substances that are necessary due to the child’s disability. Applicants are reminded that the costs of prescription drugs are reimbursable through MA.</w:t>
      </w:r>
    </w:p>
    <w:p w14:paraId="1B5880C5" w14:textId="1DDB274E"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Other:</w:t>
      </w:r>
      <w:r w:rsidRPr="00023EA4">
        <w:rPr>
          <w:rFonts w:ascii="Calibri" w:eastAsia="Times New Roman" w:hAnsi="Calibri" w:cs="Calibri"/>
          <w:kern w:val="0"/>
          <w:sz w:val="22"/>
          <w:szCs w:val="22"/>
          <w14:ligatures w14:val="none"/>
        </w:rPr>
        <w:t xml:space="preserve"> Occasionally, families need items that are not normally required for raising a similar-aged child without a disability. Some items are required because of the child’s disability and enable the family to keep the child in their home. Some of these items may not fall into any of the preceding categories. Examples of expenses in this category might include the cost of individual or family counseling when not covered by private insurance or available through the county, reimbursement for long-distance calls regarding the child’s disability, etc. These expenses must be approved on an individual basis.</w:t>
      </w:r>
    </w:p>
    <w:p w14:paraId="2D50D451" w14:textId="7B7F8F7C" w:rsidR="00023EA4" w:rsidRPr="00023EA4" w:rsidRDefault="00023EA4" w:rsidP="00023EA4">
      <w:pPr>
        <w:widowControl w:val="0"/>
        <w:numPr>
          <w:ilvl w:val="0"/>
          <w:numId w:val="4"/>
        </w:numPr>
        <w:autoSpaceDE w:val="0"/>
        <w:autoSpaceDN w:val="0"/>
        <w:adjustRightInd w:val="0"/>
        <w:spacing w:line="240" w:lineRule="auto"/>
        <w:ind w:left="360"/>
        <w:jc w:val="both"/>
        <w:rPr>
          <w:rFonts w:ascii="Calibri" w:eastAsia="Times New Roman" w:hAnsi="Calibri" w:cs="Calibri"/>
          <w:kern w:val="0"/>
          <w:sz w:val="22"/>
          <w:szCs w:val="22"/>
          <w14:ligatures w14:val="none"/>
        </w:rPr>
      </w:pPr>
      <w:r w:rsidRPr="00023EA4">
        <w:rPr>
          <w:rFonts w:ascii="Calibri" w:eastAsia="Times New Roman" w:hAnsi="Calibri" w:cs="Calibri"/>
          <w:b/>
          <w:kern w:val="0"/>
          <w:sz w:val="22"/>
          <w:szCs w:val="22"/>
          <w14:ligatures w14:val="none"/>
        </w:rPr>
        <w:t>Parental Support/Respite Services:</w:t>
      </w:r>
      <w:r w:rsidRPr="00023EA4">
        <w:rPr>
          <w:rFonts w:ascii="Calibri" w:eastAsia="Times New Roman" w:hAnsi="Calibri" w:cs="Calibri"/>
          <w:kern w:val="0"/>
          <w:sz w:val="22"/>
          <w:szCs w:val="22"/>
          <w14:ligatures w14:val="none"/>
        </w:rPr>
        <w:t xml:space="preserve"> Reimbursement is allowed for in-home and out-of-</w:t>
      </w:r>
      <w:proofErr w:type="gramStart"/>
      <w:r w:rsidRPr="00023EA4">
        <w:rPr>
          <w:rFonts w:ascii="Calibri" w:eastAsia="Times New Roman" w:hAnsi="Calibri" w:cs="Calibri"/>
          <w:kern w:val="0"/>
          <w:sz w:val="22"/>
          <w:szCs w:val="22"/>
          <w14:ligatures w14:val="none"/>
        </w:rPr>
        <w:t>home respite</w:t>
      </w:r>
      <w:proofErr w:type="gramEnd"/>
      <w:r w:rsidRPr="00023EA4">
        <w:rPr>
          <w:rFonts w:ascii="Calibri" w:eastAsia="Times New Roman" w:hAnsi="Calibri" w:cs="Calibri"/>
          <w:kern w:val="0"/>
          <w:sz w:val="22"/>
          <w:szCs w:val="22"/>
          <w14:ligatures w14:val="none"/>
        </w:rPr>
        <w:t xml:space="preserve"> care costs. Rates should typically not exceed the county rate for foster care $60 per day. Parental support is reimbursable when the parent hires someone to assist with the child outside of daycare or respite coverage. The Family Support Grant does not allow parents to </w:t>
      </w:r>
      <w:proofErr w:type="gramStart"/>
      <w:r w:rsidRPr="00023EA4">
        <w:rPr>
          <w:rFonts w:ascii="Calibri" w:eastAsia="Times New Roman" w:hAnsi="Calibri" w:cs="Calibri"/>
          <w:kern w:val="0"/>
          <w:sz w:val="22"/>
          <w:szCs w:val="22"/>
          <w14:ligatures w14:val="none"/>
        </w:rPr>
        <w:t>pay</w:t>
      </w:r>
      <w:proofErr w:type="gramEnd"/>
      <w:r w:rsidRPr="00023EA4">
        <w:rPr>
          <w:rFonts w:ascii="Calibri" w:eastAsia="Times New Roman" w:hAnsi="Calibri" w:cs="Calibri"/>
          <w:kern w:val="0"/>
          <w:sz w:val="22"/>
          <w:szCs w:val="22"/>
          <w14:ligatures w14:val="none"/>
        </w:rPr>
        <w:t xml:space="preserve"> themselves to care for the child. The </w:t>
      </w:r>
      <w:proofErr w:type="gramStart"/>
      <w:r w:rsidRPr="00023EA4">
        <w:rPr>
          <w:rFonts w:ascii="Calibri" w:eastAsia="Times New Roman" w:hAnsi="Calibri" w:cs="Calibri"/>
          <w:kern w:val="0"/>
          <w:sz w:val="22"/>
          <w:szCs w:val="22"/>
          <w14:ligatures w14:val="none"/>
        </w:rPr>
        <w:t>parent sets</w:t>
      </w:r>
      <w:proofErr w:type="gramEnd"/>
      <w:r w:rsidRPr="00023EA4">
        <w:rPr>
          <w:rFonts w:ascii="Calibri" w:eastAsia="Times New Roman" w:hAnsi="Calibri" w:cs="Calibri"/>
          <w:kern w:val="0"/>
          <w:sz w:val="22"/>
          <w:szCs w:val="22"/>
          <w14:ligatures w14:val="none"/>
        </w:rPr>
        <w:t xml:space="preserve"> the rate per hour for the support staff and </w:t>
      </w:r>
      <w:proofErr w:type="gramStart"/>
      <w:r w:rsidRPr="00023EA4">
        <w:rPr>
          <w:rFonts w:ascii="Calibri" w:eastAsia="Times New Roman" w:hAnsi="Calibri" w:cs="Calibri"/>
          <w:kern w:val="0"/>
          <w:sz w:val="22"/>
          <w:szCs w:val="22"/>
          <w14:ligatures w14:val="none"/>
        </w:rPr>
        <w:t>keeps</w:t>
      </w:r>
      <w:proofErr w:type="gramEnd"/>
      <w:r w:rsidRPr="00023EA4">
        <w:rPr>
          <w:rFonts w:ascii="Calibri" w:eastAsia="Times New Roman" w:hAnsi="Calibri" w:cs="Calibri"/>
          <w:kern w:val="0"/>
          <w:sz w:val="22"/>
          <w:szCs w:val="22"/>
          <w14:ligatures w14:val="none"/>
        </w:rPr>
        <w:t xml:space="preserve"> track of hours worked to be turned into the county quarterly. </w:t>
      </w:r>
    </w:p>
    <w:p w14:paraId="254CA9F4" w14:textId="77777777" w:rsidR="00023EA4" w:rsidRPr="00293BBA" w:rsidRDefault="00023EA4" w:rsidP="00023EA4">
      <w:pPr>
        <w:pStyle w:val="ListParagraph"/>
        <w:widowControl w:val="0"/>
        <w:numPr>
          <w:ilvl w:val="0"/>
          <w:numId w:val="4"/>
        </w:numPr>
        <w:autoSpaceDE w:val="0"/>
        <w:autoSpaceDN w:val="0"/>
        <w:adjustRightInd w:val="0"/>
        <w:spacing w:after="0" w:line="240" w:lineRule="auto"/>
        <w:ind w:left="360"/>
        <w:jc w:val="both"/>
        <w:rPr>
          <w:rFonts w:ascii="Calibri" w:hAnsi="Calibri" w:cs="Calibri"/>
          <w:sz w:val="22"/>
          <w:szCs w:val="22"/>
        </w:rPr>
      </w:pPr>
      <w:r w:rsidRPr="00023EA4">
        <w:rPr>
          <w:rFonts w:ascii="Calibri" w:hAnsi="Calibri" w:cs="Calibri"/>
          <w:b/>
          <w:sz w:val="22"/>
          <w:szCs w:val="22"/>
        </w:rPr>
        <w:t xml:space="preserve">Special Clothing: </w:t>
      </w:r>
      <w:r w:rsidRPr="00023EA4">
        <w:rPr>
          <w:rFonts w:ascii="Calibri" w:hAnsi="Calibri" w:cs="Calibri"/>
          <w:sz w:val="22"/>
          <w:szCs w:val="22"/>
        </w:rPr>
        <w:t>This category includes the costs for extra clothing and bed linens required for a child with incontinence, or for a child whose clothing wears out quickly due to abnormal movement patterns resulting from a disability. It also includes specially designed clothing for children with physical disabilities, and medically prescribed articles for which other funding is not available (e.g., orthopedic shoes, helmets for head protection during seizures).</w:t>
      </w:r>
    </w:p>
    <w:p w14:paraId="7424BBEE" w14:textId="4A3DE802" w:rsidR="00293BBA" w:rsidRPr="00293BBA" w:rsidRDefault="00293BBA" w:rsidP="00293BBA">
      <w:pPr>
        <w:pStyle w:val="ListParagraph"/>
        <w:widowControl w:val="0"/>
        <w:numPr>
          <w:ilvl w:val="0"/>
          <w:numId w:val="4"/>
        </w:numPr>
        <w:autoSpaceDE w:val="0"/>
        <w:autoSpaceDN w:val="0"/>
        <w:adjustRightInd w:val="0"/>
        <w:spacing w:line="240" w:lineRule="auto"/>
        <w:ind w:left="360"/>
        <w:contextualSpacing w:val="0"/>
        <w:jc w:val="both"/>
        <w:rPr>
          <w:rFonts w:ascii="Calibri" w:hAnsi="Calibri" w:cs="Calibri"/>
          <w:sz w:val="22"/>
          <w:szCs w:val="22"/>
        </w:rPr>
      </w:pPr>
      <w:r w:rsidRPr="00293BBA">
        <w:rPr>
          <w:rFonts w:ascii="Calibri" w:hAnsi="Calibri" w:cs="Calibri"/>
          <w:b/>
          <w:sz w:val="22"/>
          <w:szCs w:val="22"/>
        </w:rPr>
        <w:lastRenderedPageBreak/>
        <w:t>Special Diet:</w:t>
      </w:r>
      <w:r w:rsidRPr="00293BBA">
        <w:rPr>
          <w:rFonts w:ascii="Calibri" w:hAnsi="Calibri" w:cs="Calibri"/>
          <w:sz w:val="22"/>
          <w:szCs w:val="22"/>
        </w:rPr>
        <w:t xml:space="preserve"> Unusually high food and supplement costs due to special diets prescribed by a physician in an amount beyond USDA recommendations for a recipient without disability of similar age are allowable. The need for dietary </w:t>
      </w:r>
      <w:proofErr w:type="gramStart"/>
      <w:r w:rsidRPr="00293BBA">
        <w:rPr>
          <w:rFonts w:ascii="Calibri" w:hAnsi="Calibri" w:cs="Calibri"/>
          <w:sz w:val="22"/>
          <w:szCs w:val="22"/>
        </w:rPr>
        <w:t>supplement</w:t>
      </w:r>
      <w:proofErr w:type="gramEnd"/>
      <w:r w:rsidRPr="00293BBA">
        <w:rPr>
          <w:rFonts w:ascii="Calibri" w:hAnsi="Calibri" w:cs="Calibri"/>
          <w:sz w:val="22"/>
          <w:szCs w:val="22"/>
        </w:rPr>
        <w:t xml:space="preserve"> must be directly related to the child’s disability and must not be reimbursable through other funding sources such as MA, WIC, food stamps, etc.</w:t>
      </w:r>
    </w:p>
    <w:p w14:paraId="083DE8C9" w14:textId="1E011487" w:rsidR="00293BBA" w:rsidRPr="00293BBA" w:rsidRDefault="00293BBA" w:rsidP="00293BBA">
      <w:pPr>
        <w:pStyle w:val="ListParagraph"/>
        <w:widowControl w:val="0"/>
        <w:numPr>
          <w:ilvl w:val="0"/>
          <w:numId w:val="4"/>
        </w:numPr>
        <w:autoSpaceDE w:val="0"/>
        <w:autoSpaceDN w:val="0"/>
        <w:adjustRightInd w:val="0"/>
        <w:spacing w:line="240" w:lineRule="auto"/>
        <w:ind w:left="360"/>
        <w:contextualSpacing w:val="0"/>
        <w:jc w:val="both"/>
        <w:rPr>
          <w:rFonts w:ascii="Calibri" w:hAnsi="Calibri" w:cs="Calibri"/>
          <w:sz w:val="22"/>
          <w:szCs w:val="22"/>
        </w:rPr>
      </w:pPr>
      <w:r w:rsidRPr="00293BBA">
        <w:rPr>
          <w:rFonts w:ascii="Calibri" w:hAnsi="Calibri" w:cs="Calibri"/>
          <w:b/>
          <w:sz w:val="22"/>
          <w:szCs w:val="22"/>
        </w:rPr>
        <w:t xml:space="preserve">Transitional Service for Employment: </w:t>
      </w:r>
      <w:r w:rsidRPr="00293BBA">
        <w:rPr>
          <w:rFonts w:ascii="Calibri" w:hAnsi="Calibri" w:cs="Calibri"/>
          <w:sz w:val="22"/>
          <w:szCs w:val="22"/>
        </w:rPr>
        <w:t>This is allowable when the person is between the ages of 14 up to 25 years old and related to the person’s disability</w:t>
      </w:r>
      <w:r>
        <w:rPr>
          <w:rFonts w:ascii="Calibri" w:hAnsi="Calibri" w:cs="Calibri"/>
          <w:sz w:val="22"/>
          <w:szCs w:val="22"/>
        </w:rPr>
        <w:t>.</w:t>
      </w:r>
      <w:r w:rsidRPr="00293BBA">
        <w:rPr>
          <w:rFonts w:ascii="Calibri" w:hAnsi="Calibri" w:cs="Calibri"/>
          <w:sz w:val="22"/>
          <w:szCs w:val="22"/>
        </w:rPr>
        <w:t xml:space="preserve"> These activities can include items, </w:t>
      </w:r>
      <w:proofErr w:type="gramStart"/>
      <w:r w:rsidRPr="00293BBA">
        <w:rPr>
          <w:rFonts w:ascii="Calibri" w:hAnsi="Calibri" w:cs="Calibri"/>
          <w:sz w:val="22"/>
          <w:szCs w:val="22"/>
        </w:rPr>
        <w:t>trainings</w:t>
      </w:r>
      <w:proofErr w:type="gramEnd"/>
      <w:r w:rsidRPr="00293BBA">
        <w:rPr>
          <w:rFonts w:ascii="Calibri" w:hAnsi="Calibri" w:cs="Calibri"/>
          <w:sz w:val="22"/>
          <w:szCs w:val="22"/>
        </w:rPr>
        <w:t xml:space="preserve">, </w:t>
      </w:r>
      <w:r>
        <w:rPr>
          <w:rFonts w:ascii="Calibri" w:hAnsi="Calibri" w:cs="Calibri"/>
          <w:sz w:val="22"/>
          <w:szCs w:val="22"/>
        </w:rPr>
        <w:t xml:space="preserve">and </w:t>
      </w:r>
      <w:r w:rsidRPr="00293BBA">
        <w:rPr>
          <w:rFonts w:ascii="Calibri" w:hAnsi="Calibri" w:cs="Calibri"/>
          <w:sz w:val="22"/>
          <w:szCs w:val="22"/>
        </w:rPr>
        <w:t xml:space="preserve">expenses that are necessary and reasonable to support the person and family on an employment goal. This could include driving assessments costs, driving classes to obtain MN </w:t>
      </w:r>
      <w:proofErr w:type="gramStart"/>
      <w:r w:rsidRPr="00293BBA">
        <w:rPr>
          <w:rFonts w:ascii="Calibri" w:hAnsi="Calibri" w:cs="Calibri"/>
          <w:sz w:val="22"/>
          <w:szCs w:val="22"/>
        </w:rPr>
        <w:t>licenses</w:t>
      </w:r>
      <w:proofErr w:type="gramEnd"/>
      <w:r w:rsidRPr="00293BBA">
        <w:rPr>
          <w:rFonts w:ascii="Calibri" w:hAnsi="Calibri" w:cs="Calibri"/>
          <w:sz w:val="22"/>
          <w:szCs w:val="22"/>
        </w:rPr>
        <w:t xml:space="preserve"> all gaining in pursuit of employment (Courage Kenny, MCIL). Bus </w:t>
      </w:r>
      <w:proofErr w:type="gramStart"/>
      <w:r w:rsidRPr="00293BBA">
        <w:rPr>
          <w:rFonts w:ascii="Calibri" w:hAnsi="Calibri" w:cs="Calibri"/>
          <w:sz w:val="22"/>
          <w:szCs w:val="22"/>
        </w:rPr>
        <w:t>card</w:t>
      </w:r>
      <w:proofErr w:type="gramEnd"/>
      <w:r w:rsidRPr="00293BBA">
        <w:rPr>
          <w:rFonts w:ascii="Calibri" w:hAnsi="Calibri" w:cs="Calibri"/>
          <w:sz w:val="22"/>
          <w:szCs w:val="22"/>
        </w:rPr>
        <w:t>, Metro rides, Uber/LYFT ride vouchers, taxi cabs, etc. can be covered if related to employment only. This does not cover gas, mileage, maintenance or insurance of a vehicle.</w:t>
      </w:r>
    </w:p>
    <w:p w14:paraId="04A04860" w14:textId="04B42DBF" w:rsidR="00EC0123" w:rsidRPr="00293BBA" w:rsidRDefault="00293BBA" w:rsidP="00293BBA">
      <w:pPr>
        <w:pStyle w:val="ListParagraph"/>
        <w:widowControl w:val="0"/>
        <w:numPr>
          <w:ilvl w:val="0"/>
          <w:numId w:val="4"/>
        </w:numPr>
        <w:autoSpaceDE w:val="0"/>
        <w:autoSpaceDN w:val="0"/>
        <w:adjustRightInd w:val="0"/>
        <w:spacing w:line="240" w:lineRule="auto"/>
        <w:ind w:left="360"/>
        <w:contextualSpacing w:val="0"/>
        <w:jc w:val="both"/>
        <w:rPr>
          <w:rFonts w:ascii="Calibri" w:hAnsi="Calibri" w:cs="Calibri"/>
          <w:sz w:val="22"/>
          <w:szCs w:val="22"/>
        </w:rPr>
      </w:pPr>
      <w:r w:rsidRPr="00293BBA">
        <w:rPr>
          <w:rFonts w:ascii="Calibri" w:hAnsi="Calibri" w:cs="Calibri"/>
          <w:b/>
          <w:sz w:val="22"/>
          <w:szCs w:val="22"/>
        </w:rPr>
        <w:t>Transportation:</w:t>
      </w:r>
      <w:r w:rsidRPr="00293BBA">
        <w:rPr>
          <w:rFonts w:ascii="Calibri" w:hAnsi="Calibri" w:cs="Calibri"/>
          <w:sz w:val="22"/>
          <w:szCs w:val="22"/>
        </w:rPr>
        <w:t xml:space="preserve"> Expenses for transportation that are incurred </w:t>
      </w:r>
      <w:proofErr w:type="gramStart"/>
      <w:r w:rsidRPr="00293BBA">
        <w:rPr>
          <w:rFonts w:ascii="Calibri" w:hAnsi="Calibri" w:cs="Calibri"/>
          <w:sz w:val="22"/>
          <w:szCs w:val="22"/>
        </w:rPr>
        <w:t>as a result of</w:t>
      </w:r>
      <w:proofErr w:type="gramEnd"/>
      <w:r w:rsidRPr="00293BBA">
        <w:rPr>
          <w:rFonts w:ascii="Calibri" w:hAnsi="Calibri" w:cs="Calibri"/>
          <w:sz w:val="22"/>
          <w:szCs w:val="22"/>
        </w:rPr>
        <w:t xml:space="preserve"> child’s disability should be based on county reimbursement policy. Expenses must not be reimbursable through other funding sources (e.g., costs of transporting recipients to medical appointments and hospitals are typically reimbursable through environments and school-related activities which a parent would be expected to provide if the recipient did not have a disability are not reimbursable (e.g. transportation to and from shopping centers, recreation centers, day care providers, after school activities, etc.). Support staff </w:t>
      </w:r>
      <w:proofErr w:type="gramStart"/>
      <w:r w:rsidRPr="00293BBA">
        <w:rPr>
          <w:rFonts w:ascii="Calibri" w:hAnsi="Calibri" w:cs="Calibri"/>
          <w:sz w:val="22"/>
          <w:szCs w:val="22"/>
        </w:rPr>
        <w:t>are able to</w:t>
      </w:r>
      <w:proofErr w:type="gramEnd"/>
      <w:r w:rsidRPr="00293BBA">
        <w:rPr>
          <w:rFonts w:ascii="Calibri" w:hAnsi="Calibri" w:cs="Calibri"/>
          <w:sz w:val="22"/>
          <w:szCs w:val="22"/>
        </w:rPr>
        <w:t xml:space="preserve"> be reimbursed for rides or mileage.</w:t>
      </w:r>
    </w:p>
    <w:sectPr w:rsidR="00EC0123" w:rsidRPr="00293BBA" w:rsidSect="00287525">
      <w:footerReference w:type="default" r:id="rId13"/>
      <w:pgSz w:w="12240" w:h="15840" w:code="1"/>
      <w:pgMar w:top="1080" w:right="936" w:bottom="720" w:left="936" w:header="72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3F0E" w14:textId="77777777" w:rsidR="00B93708" w:rsidRDefault="00B93708" w:rsidP="005D30B8">
      <w:pPr>
        <w:spacing w:after="0" w:line="240" w:lineRule="auto"/>
      </w:pPr>
      <w:r>
        <w:separator/>
      </w:r>
    </w:p>
  </w:endnote>
  <w:endnote w:type="continuationSeparator" w:id="0">
    <w:p w14:paraId="686D45E2" w14:textId="77777777" w:rsidR="00B93708" w:rsidRDefault="00B93708" w:rsidP="005D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7FF2" w14:textId="05740B5F" w:rsidR="00C457DA" w:rsidRPr="00C457DA" w:rsidRDefault="00C457DA">
    <w:pPr>
      <w:pStyle w:val="Footer"/>
      <w:rPr>
        <w:rFonts w:ascii="Calibri" w:hAnsi="Calibri" w:cs="Calibri"/>
        <w:sz w:val="22"/>
        <w:szCs w:val="22"/>
      </w:rPr>
    </w:pPr>
    <w:r>
      <w:rPr>
        <w:rFonts w:ascii="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82DD" w14:textId="77777777" w:rsidR="00B93708" w:rsidRDefault="00B93708" w:rsidP="005D30B8">
      <w:pPr>
        <w:spacing w:after="0" w:line="240" w:lineRule="auto"/>
      </w:pPr>
      <w:r>
        <w:separator/>
      </w:r>
    </w:p>
  </w:footnote>
  <w:footnote w:type="continuationSeparator" w:id="0">
    <w:p w14:paraId="42CB26EA" w14:textId="77777777" w:rsidR="00B93708" w:rsidRDefault="00B93708" w:rsidP="005D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A1B"/>
    <w:multiLevelType w:val="hybridMultilevel"/>
    <w:tmpl w:val="DB34E374"/>
    <w:lvl w:ilvl="0" w:tplc="04090001">
      <w:start w:val="1"/>
      <w:numFmt w:val="bullet"/>
      <w:lvlText w:val=""/>
      <w:lvlJc w:val="left"/>
      <w:pPr>
        <w:ind w:left="2265" w:hanging="360"/>
      </w:pPr>
      <w:rPr>
        <w:rFonts w:ascii="Symbol" w:hAnsi="Symbol" w:hint="default"/>
      </w:rPr>
    </w:lvl>
    <w:lvl w:ilvl="1" w:tplc="04090003">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 w15:restartNumberingAfterBreak="0">
    <w:nsid w:val="3B962FEF"/>
    <w:multiLevelType w:val="hybridMultilevel"/>
    <w:tmpl w:val="558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D7826"/>
    <w:multiLevelType w:val="hybridMultilevel"/>
    <w:tmpl w:val="826AAF32"/>
    <w:lvl w:ilvl="0" w:tplc="7428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B4D3F"/>
    <w:multiLevelType w:val="hybridMultilevel"/>
    <w:tmpl w:val="EE966FC6"/>
    <w:lvl w:ilvl="0" w:tplc="29027C0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1924571">
    <w:abstractNumId w:val="2"/>
  </w:num>
  <w:num w:numId="2" w16cid:durableId="557932627">
    <w:abstractNumId w:val="3"/>
  </w:num>
  <w:num w:numId="3" w16cid:durableId="197816532">
    <w:abstractNumId w:val="0"/>
  </w:num>
  <w:num w:numId="4" w16cid:durableId="131761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B8"/>
    <w:rsid w:val="00023EA4"/>
    <w:rsid w:val="00051758"/>
    <w:rsid w:val="0008298B"/>
    <w:rsid w:val="000F2FD8"/>
    <w:rsid w:val="00133EDD"/>
    <w:rsid w:val="00134E59"/>
    <w:rsid w:val="00141278"/>
    <w:rsid w:val="001B7A4F"/>
    <w:rsid w:val="001E2743"/>
    <w:rsid w:val="00235430"/>
    <w:rsid w:val="0026297B"/>
    <w:rsid w:val="002806E5"/>
    <w:rsid w:val="00287525"/>
    <w:rsid w:val="00293BBA"/>
    <w:rsid w:val="002B641A"/>
    <w:rsid w:val="00374072"/>
    <w:rsid w:val="00374511"/>
    <w:rsid w:val="00384A57"/>
    <w:rsid w:val="003C5F02"/>
    <w:rsid w:val="00400933"/>
    <w:rsid w:val="00407777"/>
    <w:rsid w:val="00451969"/>
    <w:rsid w:val="005066F7"/>
    <w:rsid w:val="00545A2D"/>
    <w:rsid w:val="0055443D"/>
    <w:rsid w:val="0058101F"/>
    <w:rsid w:val="005A1BBA"/>
    <w:rsid w:val="005A6BFA"/>
    <w:rsid w:val="005D30B8"/>
    <w:rsid w:val="00716207"/>
    <w:rsid w:val="00730227"/>
    <w:rsid w:val="00790A8E"/>
    <w:rsid w:val="007A1E9F"/>
    <w:rsid w:val="007C09F1"/>
    <w:rsid w:val="007D501D"/>
    <w:rsid w:val="008101F1"/>
    <w:rsid w:val="0085006C"/>
    <w:rsid w:val="008924E1"/>
    <w:rsid w:val="008930E4"/>
    <w:rsid w:val="008964DE"/>
    <w:rsid w:val="00903F48"/>
    <w:rsid w:val="009D1F5D"/>
    <w:rsid w:val="00AB10A6"/>
    <w:rsid w:val="00B01BC6"/>
    <w:rsid w:val="00B30604"/>
    <w:rsid w:val="00B57820"/>
    <w:rsid w:val="00B93708"/>
    <w:rsid w:val="00BA68C9"/>
    <w:rsid w:val="00BB3CFA"/>
    <w:rsid w:val="00C457DA"/>
    <w:rsid w:val="00C4698C"/>
    <w:rsid w:val="00CC1829"/>
    <w:rsid w:val="00CF272C"/>
    <w:rsid w:val="00D05F7F"/>
    <w:rsid w:val="00D22788"/>
    <w:rsid w:val="00D652CB"/>
    <w:rsid w:val="00D91A4A"/>
    <w:rsid w:val="00DC1378"/>
    <w:rsid w:val="00DD4066"/>
    <w:rsid w:val="00E164CC"/>
    <w:rsid w:val="00E65743"/>
    <w:rsid w:val="00E8108E"/>
    <w:rsid w:val="00EB0CEE"/>
    <w:rsid w:val="00EC0123"/>
    <w:rsid w:val="00EC2030"/>
    <w:rsid w:val="00EC7A54"/>
    <w:rsid w:val="00F04C1D"/>
    <w:rsid w:val="00F33201"/>
    <w:rsid w:val="00F9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E4641"/>
  <w15:chartTrackingRefBased/>
  <w15:docId w15:val="{5A75CDCA-9A07-4CB7-9881-6D38DF11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0B8"/>
    <w:pPr>
      <w:keepNext/>
      <w:keepLines/>
      <w:spacing w:before="360" w:after="80"/>
      <w:outlineLvl w:val="0"/>
    </w:pPr>
    <w:rPr>
      <w:rFonts w:asciiTheme="majorHAnsi" w:eastAsiaTheme="majorEastAsia" w:hAnsiTheme="majorHAnsi" w:cstheme="majorBidi"/>
      <w:color w:val="084A2A" w:themeColor="accent1" w:themeShade="BF"/>
      <w:sz w:val="40"/>
      <w:szCs w:val="40"/>
    </w:rPr>
  </w:style>
  <w:style w:type="paragraph" w:styleId="Heading2">
    <w:name w:val="heading 2"/>
    <w:basedOn w:val="Normal"/>
    <w:next w:val="Normal"/>
    <w:link w:val="Heading2Char"/>
    <w:uiPriority w:val="9"/>
    <w:semiHidden/>
    <w:unhideWhenUsed/>
    <w:qFormat/>
    <w:rsid w:val="005D30B8"/>
    <w:pPr>
      <w:keepNext/>
      <w:keepLines/>
      <w:spacing w:before="160" w:after="80"/>
      <w:outlineLvl w:val="1"/>
    </w:pPr>
    <w:rPr>
      <w:rFonts w:asciiTheme="majorHAnsi" w:eastAsiaTheme="majorEastAsia" w:hAnsiTheme="majorHAnsi" w:cstheme="majorBidi"/>
      <w:color w:val="084A2A" w:themeColor="accent1" w:themeShade="BF"/>
      <w:sz w:val="32"/>
      <w:szCs w:val="32"/>
    </w:rPr>
  </w:style>
  <w:style w:type="paragraph" w:styleId="Heading3">
    <w:name w:val="heading 3"/>
    <w:basedOn w:val="Normal"/>
    <w:next w:val="Normal"/>
    <w:link w:val="Heading3Char"/>
    <w:uiPriority w:val="9"/>
    <w:semiHidden/>
    <w:unhideWhenUsed/>
    <w:qFormat/>
    <w:rsid w:val="005D30B8"/>
    <w:pPr>
      <w:keepNext/>
      <w:keepLines/>
      <w:spacing w:before="160" w:after="80"/>
      <w:outlineLvl w:val="2"/>
    </w:pPr>
    <w:rPr>
      <w:rFonts w:eastAsiaTheme="majorEastAsia" w:cstheme="majorBidi"/>
      <w:color w:val="084A2A" w:themeColor="accent1" w:themeShade="BF"/>
      <w:sz w:val="28"/>
      <w:szCs w:val="28"/>
    </w:rPr>
  </w:style>
  <w:style w:type="paragraph" w:styleId="Heading4">
    <w:name w:val="heading 4"/>
    <w:basedOn w:val="Normal"/>
    <w:next w:val="Normal"/>
    <w:link w:val="Heading4Char"/>
    <w:uiPriority w:val="9"/>
    <w:semiHidden/>
    <w:unhideWhenUsed/>
    <w:qFormat/>
    <w:rsid w:val="005D30B8"/>
    <w:pPr>
      <w:keepNext/>
      <w:keepLines/>
      <w:spacing w:before="80" w:after="40"/>
      <w:outlineLvl w:val="3"/>
    </w:pPr>
    <w:rPr>
      <w:rFonts w:eastAsiaTheme="majorEastAsia" w:cstheme="majorBidi"/>
      <w:i/>
      <w:iCs/>
      <w:color w:val="084A2A" w:themeColor="accent1" w:themeShade="BF"/>
    </w:rPr>
  </w:style>
  <w:style w:type="paragraph" w:styleId="Heading5">
    <w:name w:val="heading 5"/>
    <w:basedOn w:val="Normal"/>
    <w:next w:val="Normal"/>
    <w:link w:val="Heading5Char"/>
    <w:uiPriority w:val="9"/>
    <w:semiHidden/>
    <w:unhideWhenUsed/>
    <w:qFormat/>
    <w:rsid w:val="005D30B8"/>
    <w:pPr>
      <w:keepNext/>
      <w:keepLines/>
      <w:spacing w:before="80" w:after="40"/>
      <w:outlineLvl w:val="4"/>
    </w:pPr>
    <w:rPr>
      <w:rFonts w:eastAsiaTheme="majorEastAsia" w:cstheme="majorBidi"/>
      <w:color w:val="084A2A" w:themeColor="accent1" w:themeShade="BF"/>
    </w:rPr>
  </w:style>
  <w:style w:type="paragraph" w:styleId="Heading6">
    <w:name w:val="heading 6"/>
    <w:basedOn w:val="Normal"/>
    <w:next w:val="Normal"/>
    <w:link w:val="Heading6Char"/>
    <w:uiPriority w:val="9"/>
    <w:semiHidden/>
    <w:unhideWhenUsed/>
    <w:qFormat/>
    <w:rsid w:val="005D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B8"/>
    <w:rPr>
      <w:rFonts w:asciiTheme="majorHAnsi" w:eastAsiaTheme="majorEastAsia" w:hAnsiTheme="majorHAnsi" w:cstheme="majorBidi"/>
      <w:color w:val="084A2A" w:themeColor="accent1" w:themeShade="BF"/>
      <w:sz w:val="40"/>
      <w:szCs w:val="40"/>
    </w:rPr>
  </w:style>
  <w:style w:type="character" w:customStyle="1" w:styleId="Heading2Char">
    <w:name w:val="Heading 2 Char"/>
    <w:basedOn w:val="DefaultParagraphFont"/>
    <w:link w:val="Heading2"/>
    <w:uiPriority w:val="9"/>
    <w:semiHidden/>
    <w:rsid w:val="005D30B8"/>
    <w:rPr>
      <w:rFonts w:asciiTheme="majorHAnsi" w:eastAsiaTheme="majorEastAsia" w:hAnsiTheme="majorHAnsi" w:cstheme="majorBidi"/>
      <w:color w:val="084A2A" w:themeColor="accent1" w:themeShade="BF"/>
      <w:sz w:val="32"/>
      <w:szCs w:val="32"/>
    </w:rPr>
  </w:style>
  <w:style w:type="character" w:customStyle="1" w:styleId="Heading3Char">
    <w:name w:val="Heading 3 Char"/>
    <w:basedOn w:val="DefaultParagraphFont"/>
    <w:link w:val="Heading3"/>
    <w:uiPriority w:val="9"/>
    <w:semiHidden/>
    <w:rsid w:val="005D30B8"/>
    <w:rPr>
      <w:rFonts w:eastAsiaTheme="majorEastAsia" w:cstheme="majorBidi"/>
      <w:color w:val="084A2A" w:themeColor="accent1" w:themeShade="BF"/>
      <w:sz w:val="28"/>
      <w:szCs w:val="28"/>
    </w:rPr>
  </w:style>
  <w:style w:type="character" w:customStyle="1" w:styleId="Heading4Char">
    <w:name w:val="Heading 4 Char"/>
    <w:basedOn w:val="DefaultParagraphFont"/>
    <w:link w:val="Heading4"/>
    <w:uiPriority w:val="9"/>
    <w:semiHidden/>
    <w:rsid w:val="005D30B8"/>
    <w:rPr>
      <w:rFonts w:eastAsiaTheme="majorEastAsia" w:cstheme="majorBidi"/>
      <w:i/>
      <w:iCs/>
      <w:color w:val="084A2A" w:themeColor="accent1" w:themeShade="BF"/>
    </w:rPr>
  </w:style>
  <w:style w:type="character" w:customStyle="1" w:styleId="Heading5Char">
    <w:name w:val="Heading 5 Char"/>
    <w:basedOn w:val="DefaultParagraphFont"/>
    <w:link w:val="Heading5"/>
    <w:uiPriority w:val="9"/>
    <w:semiHidden/>
    <w:rsid w:val="005D30B8"/>
    <w:rPr>
      <w:rFonts w:eastAsiaTheme="majorEastAsia" w:cstheme="majorBidi"/>
      <w:color w:val="084A2A" w:themeColor="accent1" w:themeShade="BF"/>
    </w:rPr>
  </w:style>
  <w:style w:type="character" w:customStyle="1" w:styleId="Heading6Char">
    <w:name w:val="Heading 6 Char"/>
    <w:basedOn w:val="DefaultParagraphFont"/>
    <w:link w:val="Heading6"/>
    <w:uiPriority w:val="9"/>
    <w:semiHidden/>
    <w:rsid w:val="005D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B8"/>
    <w:rPr>
      <w:rFonts w:eastAsiaTheme="majorEastAsia" w:cstheme="majorBidi"/>
      <w:color w:val="272727" w:themeColor="text1" w:themeTint="D8"/>
    </w:rPr>
  </w:style>
  <w:style w:type="paragraph" w:styleId="Title">
    <w:name w:val="Title"/>
    <w:basedOn w:val="Normal"/>
    <w:next w:val="Normal"/>
    <w:link w:val="TitleChar"/>
    <w:uiPriority w:val="10"/>
    <w:qFormat/>
    <w:rsid w:val="005D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B8"/>
    <w:pPr>
      <w:spacing w:before="160"/>
      <w:jc w:val="center"/>
    </w:pPr>
    <w:rPr>
      <w:i/>
      <w:iCs/>
      <w:color w:val="404040" w:themeColor="text1" w:themeTint="BF"/>
    </w:rPr>
  </w:style>
  <w:style w:type="character" w:customStyle="1" w:styleId="QuoteChar">
    <w:name w:val="Quote Char"/>
    <w:basedOn w:val="DefaultParagraphFont"/>
    <w:link w:val="Quote"/>
    <w:uiPriority w:val="29"/>
    <w:rsid w:val="005D30B8"/>
    <w:rPr>
      <w:i/>
      <w:iCs/>
      <w:color w:val="404040" w:themeColor="text1" w:themeTint="BF"/>
    </w:rPr>
  </w:style>
  <w:style w:type="paragraph" w:styleId="ListParagraph">
    <w:name w:val="List Paragraph"/>
    <w:basedOn w:val="Normal"/>
    <w:uiPriority w:val="34"/>
    <w:qFormat/>
    <w:rsid w:val="005D30B8"/>
    <w:pPr>
      <w:ind w:left="720"/>
      <w:contextualSpacing/>
    </w:pPr>
  </w:style>
  <w:style w:type="character" w:styleId="IntenseEmphasis">
    <w:name w:val="Intense Emphasis"/>
    <w:basedOn w:val="DefaultParagraphFont"/>
    <w:uiPriority w:val="21"/>
    <w:qFormat/>
    <w:rsid w:val="005D30B8"/>
    <w:rPr>
      <w:i/>
      <w:iCs/>
      <w:color w:val="084A2A" w:themeColor="accent1" w:themeShade="BF"/>
    </w:rPr>
  </w:style>
  <w:style w:type="paragraph" w:styleId="IntenseQuote">
    <w:name w:val="Intense Quote"/>
    <w:basedOn w:val="Normal"/>
    <w:next w:val="Normal"/>
    <w:link w:val="IntenseQuoteChar"/>
    <w:uiPriority w:val="30"/>
    <w:qFormat/>
    <w:rsid w:val="005D30B8"/>
    <w:pPr>
      <w:pBdr>
        <w:top w:val="single" w:sz="4" w:space="10" w:color="084A2A" w:themeColor="accent1" w:themeShade="BF"/>
        <w:bottom w:val="single" w:sz="4" w:space="10" w:color="084A2A" w:themeColor="accent1" w:themeShade="BF"/>
      </w:pBdr>
      <w:spacing w:before="360" w:after="360"/>
      <w:ind w:left="864" w:right="864"/>
      <w:jc w:val="center"/>
    </w:pPr>
    <w:rPr>
      <w:i/>
      <w:iCs/>
      <w:color w:val="084A2A" w:themeColor="accent1" w:themeShade="BF"/>
    </w:rPr>
  </w:style>
  <w:style w:type="character" w:customStyle="1" w:styleId="IntenseQuoteChar">
    <w:name w:val="Intense Quote Char"/>
    <w:basedOn w:val="DefaultParagraphFont"/>
    <w:link w:val="IntenseQuote"/>
    <w:uiPriority w:val="30"/>
    <w:rsid w:val="005D30B8"/>
    <w:rPr>
      <w:i/>
      <w:iCs/>
      <w:color w:val="084A2A" w:themeColor="accent1" w:themeShade="BF"/>
    </w:rPr>
  </w:style>
  <w:style w:type="character" w:styleId="IntenseReference">
    <w:name w:val="Intense Reference"/>
    <w:basedOn w:val="DefaultParagraphFont"/>
    <w:uiPriority w:val="32"/>
    <w:qFormat/>
    <w:rsid w:val="005D30B8"/>
    <w:rPr>
      <w:b/>
      <w:bCs/>
      <w:smallCaps/>
      <w:color w:val="084A2A" w:themeColor="accent1" w:themeShade="BF"/>
      <w:spacing w:val="5"/>
    </w:rPr>
  </w:style>
  <w:style w:type="paragraph" w:styleId="Header">
    <w:name w:val="header"/>
    <w:basedOn w:val="Normal"/>
    <w:link w:val="HeaderChar"/>
    <w:uiPriority w:val="99"/>
    <w:unhideWhenUsed/>
    <w:rsid w:val="005D3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0B8"/>
  </w:style>
  <w:style w:type="paragraph" w:styleId="Footer">
    <w:name w:val="footer"/>
    <w:basedOn w:val="Normal"/>
    <w:link w:val="FooterChar"/>
    <w:uiPriority w:val="99"/>
    <w:unhideWhenUsed/>
    <w:rsid w:val="005D3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0B8"/>
  </w:style>
  <w:style w:type="character" w:styleId="Hyperlink">
    <w:name w:val="Hyperlink"/>
    <w:basedOn w:val="DefaultParagraphFont"/>
    <w:uiPriority w:val="99"/>
    <w:unhideWhenUsed/>
    <w:rsid w:val="005D30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SvsFamilySupportGrant@washingtoncountym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WashingtonCounty Colors 2022">
      <a:dk1>
        <a:sysClr val="windowText" lastClr="000000"/>
      </a:dk1>
      <a:lt1>
        <a:sysClr val="window" lastClr="FFFFFF"/>
      </a:lt1>
      <a:dk2>
        <a:srgbClr val="939598"/>
      </a:dk2>
      <a:lt2>
        <a:srgbClr val="DCDDDE"/>
      </a:lt2>
      <a:accent1>
        <a:srgbClr val="0B6339"/>
      </a:accent1>
      <a:accent2>
        <a:srgbClr val="2B5D94"/>
      </a:accent2>
      <a:accent3>
        <a:srgbClr val="224E5A"/>
      </a:accent3>
      <a:accent4>
        <a:srgbClr val="A7C645"/>
      </a:accent4>
      <a:accent5>
        <a:srgbClr val="F2D442"/>
      </a:accent5>
      <a:accent6>
        <a:srgbClr val="A0CFD3"/>
      </a:accent6>
      <a:hlink>
        <a:srgbClr val="0563C1"/>
      </a:hlink>
      <a:folHlink>
        <a:srgbClr val="63525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d661017-1de1-4d49-b677-a725a463dc6a">Letterhead</Document_x0020_type>
    <TaxCatchAll xmlns="82d7d71f-eaba-4404-9138-566c9b7dc1bb" xsi:nil="true"/>
    <lcf76f155ced4ddcb4097134ff3c332f xmlns="ed661017-1de1-4d49-b677-a725a463dc6a">
      <Terms xmlns="http://schemas.microsoft.com/office/infopath/2007/PartnerControls"/>
    </lcf76f155ced4ddcb4097134ff3c332f>
    <Department xmlns="ed661017-1de1-4d49-b677-a725a463dc6a">Community Services</Depart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B7E283F30DD44A86B1FB805E3C47A4" ma:contentTypeVersion="15" ma:contentTypeDescription="Create a new document." ma:contentTypeScope="" ma:versionID="456eabaefe2d1a235e807071833250c9">
  <xsd:schema xmlns:xsd="http://www.w3.org/2001/XMLSchema" xmlns:xs="http://www.w3.org/2001/XMLSchema" xmlns:p="http://schemas.microsoft.com/office/2006/metadata/properties" xmlns:ns2="ed661017-1de1-4d49-b677-a725a463dc6a" xmlns:ns3="82d7d71f-eaba-4404-9138-566c9b7dc1bb" targetNamespace="http://schemas.microsoft.com/office/2006/metadata/properties" ma:root="true" ma:fieldsID="b2d242ccfc30318f1da8631dcc97ef46" ns2:_="" ns3:_="">
    <xsd:import namespace="ed661017-1de1-4d49-b677-a725a463dc6a"/>
    <xsd:import namespace="82d7d71f-eaba-4404-9138-566c9b7dc1bb"/>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ObjectDetectorVersions"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1017-1de1-4d49-b677-a725a463dc6a"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Department" ma:index="13" nillable="true" ma:displayName="Department" ma:format="Dropdown" ma:internalName="Department">
      <xsd:simpleType>
        <xsd:restriction base="dms:Choice">
          <xsd:enumeration value="All Depts"/>
          <xsd:enumeration value="Accounting &amp; Finance"/>
          <xsd:enumeration value="Administration"/>
          <xsd:enumeration value="Community Corrections"/>
          <xsd:enumeration value="Community Services"/>
          <xsd:enumeration value="County Attorney"/>
          <xsd:enumeration value="Human Resources"/>
          <xsd:enumeration value="Information Technology"/>
          <xsd:enumeration value="Library"/>
          <xsd:enumeration value="Property, Records, &amp; Taxpayer Services"/>
          <xsd:enumeration value="Public Health &amp; Environment"/>
          <xsd:enumeration value="Public Works"/>
          <xsd:enumeration value="Sheriff's Office"/>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02d6b7-a6e9-41e7-937a-3a8adf02f93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7d71f-eaba-4404-9138-566c9b7dc1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8184df-be03-42ed-86d9-af453d2261d3}" ma:internalName="TaxCatchAll" ma:showField="CatchAllData" ma:web="82d7d71f-eaba-4404-9138-566c9b7dc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F2DEA-0C96-4C31-8A26-0BD115DAFA3B}">
  <ds:schemaRefs>
    <ds:schemaRef ds:uri="http://schemas.openxmlformats.org/officeDocument/2006/bibliography"/>
  </ds:schemaRefs>
</ds:datastoreItem>
</file>

<file path=customXml/itemProps2.xml><?xml version="1.0" encoding="utf-8"?>
<ds:datastoreItem xmlns:ds="http://schemas.openxmlformats.org/officeDocument/2006/customXml" ds:itemID="{A14B2A58-A33F-457A-960B-7975155B8F78}">
  <ds:schemaRefs>
    <ds:schemaRef ds:uri="http://schemas.microsoft.com/office/2006/metadata/properties"/>
    <ds:schemaRef ds:uri="http://schemas.microsoft.com/office/infopath/2007/PartnerControls"/>
    <ds:schemaRef ds:uri="ed661017-1de1-4d49-b677-a725a463dc6a"/>
    <ds:schemaRef ds:uri="82d7d71f-eaba-4404-9138-566c9b7dc1bb"/>
  </ds:schemaRefs>
</ds:datastoreItem>
</file>

<file path=customXml/itemProps3.xml><?xml version="1.0" encoding="utf-8"?>
<ds:datastoreItem xmlns:ds="http://schemas.openxmlformats.org/officeDocument/2006/customXml" ds:itemID="{8B96AEB0-8994-4DE3-8620-2CB69CD81DBC}">
  <ds:schemaRefs>
    <ds:schemaRef ds:uri="http://schemas.microsoft.com/sharepoint/v3/contenttype/forms"/>
  </ds:schemaRefs>
</ds:datastoreItem>
</file>

<file path=customXml/itemProps4.xml><?xml version="1.0" encoding="utf-8"?>
<ds:datastoreItem xmlns:ds="http://schemas.openxmlformats.org/officeDocument/2006/customXml" ds:itemID="{540EFE87-89E6-47BA-A171-B21741D3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1017-1de1-4d49-b677-a725a463dc6a"/>
    <ds:schemaRef ds:uri="82d7d71f-eaba-4404-9138-566c9b7d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860</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Johnson</dc:creator>
  <cp:keywords/>
  <dc:description/>
  <cp:lastModifiedBy>Kristie Campeau-Perlock</cp:lastModifiedBy>
  <cp:revision>5</cp:revision>
  <cp:lastPrinted>2025-07-16T16:07:00Z</cp:lastPrinted>
  <dcterms:created xsi:type="dcterms:W3CDTF">2025-10-09T17:09:00Z</dcterms:created>
  <dcterms:modified xsi:type="dcterms:W3CDTF">2025-10-09T17:32:00Z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ad9fdb84-d518-4109-9d0a-8db8a284752e</vt:lpwstr>
  </property>
  <property fmtid="{D5CDD505-2E9C-101B-9397-08002B2CF9AE}" pid="3" name="ContentTypeId">
    <vt:lpwstr>0x01010063B7E283F30DD44A86B1FB805E3C47A4</vt:lpwstr>
  </property>
  <property fmtid="{D5CDD505-2E9C-101B-9397-08002B2CF9AE}" pid="4" name="MediaServiceImageTags">
    <vt:lpwstr/>
  </property>
</Properties>
</file>