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3DAC4" w14:textId="0B113CFD" w:rsidR="008B61A2" w:rsidRPr="001A1304" w:rsidRDefault="008B61A2" w:rsidP="00F919FE">
      <w:pPr>
        <w:spacing w:after="0"/>
        <w:jc w:val="center"/>
        <w:rPr>
          <w:rFonts w:ascii="Calibri" w:hAnsi="Calibri" w:cs="Calibri"/>
          <w:b/>
          <w:bCs/>
          <w:sz w:val="24"/>
          <w:szCs w:val="24"/>
        </w:rPr>
      </w:pPr>
      <w:r w:rsidRPr="001A1304">
        <w:rPr>
          <w:rFonts w:ascii="Calibri" w:hAnsi="Calibri" w:cs="Calibri"/>
          <w:b/>
          <w:bCs/>
          <w:sz w:val="24"/>
          <w:szCs w:val="24"/>
        </w:rPr>
        <w:t>NOTICE OF PUBLIC SALE OF TAX</w:t>
      </w:r>
      <w:r w:rsidR="00F919FE" w:rsidRPr="001A1304">
        <w:rPr>
          <w:rFonts w:ascii="Calibri" w:hAnsi="Calibri" w:cs="Calibri"/>
          <w:b/>
          <w:bCs/>
          <w:sz w:val="24"/>
          <w:szCs w:val="24"/>
        </w:rPr>
        <w:t>-</w:t>
      </w:r>
      <w:r w:rsidRPr="001A1304">
        <w:rPr>
          <w:rFonts w:ascii="Calibri" w:hAnsi="Calibri" w:cs="Calibri"/>
          <w:b/>
          <w:bCs/>
          <w:sz w:val="24"/>
          <w:szCs w:val="24"/>
        </w:rPr>
        <w:t>FORFEITED LANDS</w:t>
      </w:r>
    </w:p>
    <w:p w14:paraId="015C132C" w14:textId="35D6C890" w:rsidR="001409F4" w:rsidRPr="00D06A72" w:rsidRDefault="008B61A2" w:rsidP="00AA5ABE">
      <w:pPr>
        <w:spacing w:before="120" w:after="0" w:line="240" w:lineRule="auto"/>
        <w:rPr>
          <w:rFonts w:ascii="Calibri" w:hAnsi="Calibri" w:cs="Calibri"/>
        </w:rPr>
      </w:pPr>
      <w:r w:rsidRPr="00D06A72">
        <w:rPr>
          <w:rFonts w:ascii="Calibri" w:hAnsi="Calibri" w:cs="Calibri"/>
        </w:rPr>
        <w:t>N</w:t>
      </w:r>
      <w:r w:rsidR="00016635" w:rsidRPr="00D06A72">
        <w:rPr>
          <w:rFonts w:ascii="Calibri" w:hAnsi="Calibri" w:cs="Calibri"/>
        </w:rPr>
        <w:t>OTICE IS HEREBY GIVEN</w:t>
      </w:r>
      <w:r w:rsidR="00F919FE" w:rsidRPr="00D06A72">
        <w:rPr>
          <w:rFonts w:ascii="Calibri" w:hAnsi="Calibri" w:cs="Calibri"/>
        </w:rPr>
        <w:t>,</w:t>
      </w:r>
      <w:r w:rsidRPr="00D06A72">
        <w:rPr>
          <w:rFonts w:ascii="Calibri" w:hAnsi="Calibri" w:cs="Calibri"/>
        </w:rPr>
        <w:t xml:space="preserve"> that the </w:t>
      </w:r>
      <w:r w:rsidR="007205C3" w:rsidRPr="00D06A72">
        <w:rPr>
          <w:rFonts w:ascii="Calibri" w:hAnsi="Calibri" w:cs="Calibri"/>
        </w:rPr>
        <w:t xml:space="preserve">property </w:t>
      </w:r>
      <w:r w:rsidR="00D87AB3" w:rsidRPr="00D06A72">
        <w:rPr>
          <w:rFonts w:ascii="Calibri" w:hAnsi="Calibri" w:cs="Calibri"/>
        </w:rPr>
        <w:t xml:space="preserve">described </w:t>
      </w:r>
      <w:r w:rsidR="001409F4" w:rsidRPr="00D06A72">
        <w:rPr>
          <w:rFonts w:ascii="Calibri" w:hAnsi="Calibri" w:cs="Calibri"/>
        </w:rPr>
        <w:t xml:space="preserve">below will </w:t>
      </w:r>
      <w:r w:rsidR="00D87AB3" w:rsidRPr="00D06A72">
        <w:rPr>
          <w:rFonts w:ascii="Calibri" w:hAnsi="Calibri" w:cs="Calibri"/>
        </w:rPr>
        <w:t xml:space="preserve">be sold to the highest bidder at </w:t>
      </w:r>
      <w:r w:rsidR="001409F4" w:rsidRPr="00D06A72">
        <w:rPr>
          <w:rFonts w:ascii="Calibri" w:hAnsi="Calibri" w:cs="Calibri"/>
        </w:rPr>
        <w:t xml:space="preserve">a </w:t>
      </w:r>
      <w:r w:rsidR="00D87AB3" w:rsidRPr="00D06A72">
        <w:rPr>
          <w:rFonts w:ascii="Calibri" w:hAnsi="Calibri" w:cs="Calibri"/>
        </w:rPr>
        <w:t>public auction sale</w:t>
      </w:r>
      <w:r w:rsidR="001409F4" w:rsidRPr="00D06A72">
        <w:rPr>
          <w:rFonts w:ascii="Calibri" w:hAnsi="Calibri" w:cs="Calibri"/>
        </w:rPr>
        <w:t xml:space="preserve"> pursuant to </w:t>
      </w:r>
      <w:r w:rsidR="00D87AB3" w:rsidRPr="00D06A72">
        <w:rPr>
          <w:rFonts w:ascii="Calibri" w:hAnsi="Calibri" w:cs="Calibri"/>
        </w:rPr>
        <w:t>M</w:t>
      </w:r>
      <w:r w:rsidR="00B06B0A" w:rsidRPr="00D06A72">
        <w:rPr>
          <w:rFonts w:ascii="Calibri" w:hAnsi="Calibri" w:cs="Calibri"/>
        </w:rPr>
        <w:t>innes</w:t>
      </w:r>
      <w:r w:rsidR="008F2733" w:rsidRPr="00D06A72">
        <w:rPr>
          <w:rFonts w:ascii="Calibri" w:hAnsi="Calibri" w:cs="Calibri"/>
        </w:rPr>
        <w:t>ota Statute</w:t>
      </w:r>
      <w:r w:rsidR="00D87AB3" w:rsidRPr="00D06A72">
        <w:rPr>
          <w:rFonts w:ascii="Calibri" w:hAnsi="Calibri" w:cs="Calibri"/>
        </w:rPr>
        <w:t xml:space="preserve"> § 282.0</w:t>
      </w:r>
      <w:r w:rsidR="00D41E2D">
        <w:rPr>
          <w:rFonts w:ascii="Calibri" w:hAnsi="Calibri" w:cs="Calibri"/>
        </w:rPr>
        <w:t>1</w:t>
      </w:r>
      <w:r w:rsidR="00D87AB3" w:rsidRPr="00D06A72">
        <w:rPr>
          <w:rFonts w:ascii="Calibri" w:hAnsi="Calibri" w:cs="Calibri"/>
        </w:rPr>
        <w:t>.</w:t>
      </w:r>
      <w:r w:rsidR="001A1304" w:rsidRPr="00D06A72">
        <w:rPr>
          <w:rFonts w:ascii="Calibri" w:hAnsi="Calibri" w:cs="Calibri"/>
        </w:rPr>
        <w:t xml:space="preserve">  The </w:t>
      </w:r>
      <w:r w:rsidR="001409F4" w:rsidRPr="00D06A72">
        <w:rPr>
          <w:rFonts w:ascii="Calibri" w:hAnsi="Calibri" w:cs="Calibri"/>
        </w:rPr>
        <w:t>p</w:t>
      </w:r>
      <w:r w:rsidR="00AC34B1" w:rsidRPr="00D06A72">
        <w:rPr>
          <w:rFonts w:ascii="Calibri" w:hAnsi="Calibri" w:cs="Calibri"/>
        </w:rPr>
        <w:t xml:space="preserve">roperty </w:t>
      </w:r>
      <w:r w:rsidR="001409F4" w:rsidRPr="00D06A72">
        <w:rPr>
          <w:rFonts w:ascii="Calibri" w:hAnsi="Calibri" w:cs="Calibri"/>
        </w:rPr>
        <w:t>will be offered</w:t>
      </w:r>
      <w:r w:rsidR="00DE73DF" w:rsidRPr="00D06A72">
        <w:rPr>
          <w:rFonts w:ascii="Calibri" w:hAnsi="Calibri" w:cs="Calibri"/>
        </w:rPr>
        <w:t xml:space="preserve"> at an </w:t>
      </w:r>
      <w:r w:rsidR="00802B7B" w:rsidRPr="00D06A72">
        <w:rPr>
          <w:rFonts w:ascii="Calibri" w:hAnsi="Calibri" w:cs="Calibri"/>
        </w:rPr>
        <w:t>i</w:t>
      </w:r>
      <w:r w:rsidR="00DE73DF" w:rsidRPr="00D06A72">
        <w:rPr>
          <w:rFonts w:ascii="Calibri" w:hAnsi="Calibri" w:cs="Calibri"/>
        </w:rPr>
        <w:t xml:space="preserve">nitial </w:t>
      </w:r>
      <w:r w:rsidR="00802B7B" w:rsidRPr="00D06A72">
        <w:rPr>
          <w:rFonts w:ascii="Calibri" w:hAnsi="Calibri" w:cs="Calibri"/>
        </w:rPr>
        <w:t>a</w:t>
      </w:r>
      <w:r w:rsidR="00DE73DF" w:rsidRPr="00D06A72">
        <w:rPr>
          <w:rFonts w:ascii="Calibri" w:hAnsi="Calibri" w:cs="Calibri"/>
        </w:rPr>
        <w:t xml:space="preserve">uction </w:t>
      </w:r>
      <w:r w:rsidR="001409F4" w:rsidRPr="00D06A72">
        <w:rPr>
          <w:rFonts w:ascii="Calibri" w:hAnsi="Calibri" w:cs="Calibri"/>
        </w:rPr>
        <w:t xml:space="preserve">for not less than the </w:t>
      </w:r>
      <w:r w:rsidR="00802B7B" w:rsidRPr="00D06A72">
        <w:rPr>
          <w:rFonts w:ascii="Calibri" w:hAnsi="Calibri" w:cs="Calibri"/>
        </w:rPr>
        <w:t>i</w:t>
      </w:r>
      <w:r w:rsidR="001409F4" w:rsidRPr="00D06A72">
        <w:rPr>
          <w:rFonts w:ascii="Calibri" w:hAnsi="Calibri" w:cs="Calibri"/>
        </w:rPr>
        <w:t xml:space="preserve">nitial </w:t>
      </w:r>
      <w:r w:rsidR="00802B7B" w:rsidRPr="00D06A72">
        <w:rPr>
          <w:rFonts w:ascii="Calibri" w:hAnsi="Calibri" w:cs="Calibri"/>
        </w:rPr>
        <w:t>p</w:t>
      </w:r>
      <w:r w:rsidR="001409F4" w:rsidRPr="00D06A72">
        <w:rPr>
          <w:rFonts w:ascii="Calibri" w:hAnsi="Calibri" w:cs="Calibri"/>
        </w:rPr>
        <w:t xml:space="preserve">rice.  </w:t>
      </w:r>
      <w:r w:rsidR="00507919" w:rsidRPr="00D06A72">
        <w:rPr>
          <w:rFonts w:ascii="Calibri" w:hAnsi="Calibri" w:cs="Calibri"/>
        </w:rPr>
        <w:t>Property</w:t>
      </w:r>
      <w:r w:rsidR="007C3550" w:rsidRPr="00D06A72">
        <w:rPr>
          <w:rFonts w:ascii="Calibri" w:hAnsi="Calibri" w:cs="Calibri"/>
        </w:rPr>
        <w:t xml:space="preserve"> </w:t>
      </w:r>
      <w:r w:rsidR="00752A4F" w:rsidRPr="00D06A72">
        <w:rPr>
          <w:rFonts w:ascii="Calibri" w:hAnsi="Calibri" w:cs="Calibri"/>
        </w:rPr>
        <w:t xml:space="preserve">remaining unsold will be offered at </w:t>
      </w:r>
      <w:r w:rsidR="000B7FDE" w:rsidRPr="00D06A72">
        <w:rPr>
          <w:rFonts w:ascii="Calibri" w:hAnsi="Calibri" w:cs="Calibri"/>
        </w:rPr>
        <w:t xml:space="preserve">a subsequent auction for the </w:t>
      </w:r>
      <w:r w:rsidR="00AE6E45" w:rsidRPr="00D06A72">
        <w:rPr>
          <w:rFonts w:ascii="Calibri" w:hAnsi="Calibri" w:cs="Calibri"/>
        </w:rPr>
        <w:t>m</w:t>
      </w:r>
      <w:r w:rsidR="000B7FDE" w:rsidRPr="00D06A72">
        <w:rPr>
          <w:rFonts w:ascii="Calibri" w:hAnsi="Calibri" w:cs="Calibri"/>
        </w:rPr>
        <w:t>inim</w:t>
      </w:r>
      <w:r w:rsidR="001C71CF" w:rsidRPr="00D06A72">
        <w:rPr>
          <w:rFonts w:ascii="Calibri" w:hAnsi="Calibri" w:cs="Calibri"/>
        </w:rPr>
        <w:t xml:space="preserve">um </w:t>
      </w:r>
      <w:r w:rsidR="00AE6E45" w:rsidRPr="00D06A72">
        <w:rPr>
          <w:rFonts w:ascii="Calibri" w:hAnsi="Calibri" w:cs="Calibri"/>
        </w:rPr>
        <w:t>b</w:t>
      </w:r>
      <w:r w:rsidR="001C71CF" w:rsidRPr="00D06A72">
        <w:rPr>
          <w:rFonts w:ascii="Calibri" w:hAnsi="Calibri" w:cs="Calibri"/>
        </w:rPr>
        <w:t>id</w:t>
      </w:r>
      <w:r w:rsidR="00752A4F" w:rsidRPr="00D06A72">
        <w:rPr>
          <w:rFonts w:ascii="Calibri" w:hAnsi="Calibri" w:cs="Calibri"/>
        </w:rPr>
        <w:t>.</w:t>
      </w:r>
    </w:p>
    <w:p w14:paraId="2DEF4B33" w14:textId="77777777" w:rsidR="00D87AB3" w:rsidRPr="00D06A72" w:rsidRDefault="00D87AB3" w:rsidP="00E63AA1">
      <w:pPr>
        <w:spacing w:after="0" w:line="120" w:lineRule="exact"/>
        <w:rPr>
          <w:rFonts w:ascii="Calibri" w:hAnsi="Calibri" w:cs="Calibri"/>
        </w:rPr>
      </w:pPr>
    </w:p>
    <w:tbl>
      <w:tblPr>
        <w:tblStyle w:val="TableGrid"/>
        <w:tblW w:w="9805" w:type="dxa"/>
        <w:tblLook w:val="04A0" w:firstRow="1" w:lastRow="0" w:firstColumn="1" w:lastColumn="0" w:noHBand="0" w:noVBand="1"/>
      </w:tblPr>
      <w:tblGrid>
        <w:gridCol w:w="4945"/>
        <w:gridCol w:w="4860"/>
      </w:tblGrid>
      <w:tr w:rsidR="004C086C" w:rsidRPr="00D06A72" w14:paraId="29CD99D1" w14:textId="77777777" w:rsidTr="00D31F9F">
        <w:tc>
          <w:tcPr>
            <w:tcW w:w="4945" w:type="dxa"/>
            <w:shd w:val="clear" w:color="auto" w:fill="D9D9D9" w:themeFill="background1" w:themeFillShade="D9"/>
            <w:vAlign w:val="bottom"/>
          </w:tcPr>
          <w:p w14:paraId="6811CCD4" w14:textId="27FAC765" w:rsidR="004C086C" w:rsidRPr="00D06A72" w:rsidRDefault="004C086C" w:rsidP="00D26F7C">
            <w:pPr>
              <w:rPr>
                <w:rFonts w:ascii="Calibri" w:hAnsi="Calibri" w:cs="Calibri"/>
                <w:b/>
                <w:bCs/>
              </w:rPr>
            </w:pPr>
            <w:bookmarkStart w:id="0" w:name="_Hlk182319917"/>
            <w:r w:rsidRPr="00D06A72">
              <w:rPr>
                <w:rFonts w:ascii="Calibri" w:hAnsi="Calibri" w:cs="Calibri"/>
                <w:b/>
                <w:bCs/>
              </w:rPr>
              <w:t xml:space="preserve">Initial </w:t>
            </w:r>
            <w:r w:rsidR="000E072F" w:rsidRPr="00D06A72">
              <w:rPr>
                <w:rFonts w:ascii="Calibri" w:hAnsi="Calibri" w:cs="Calibri"/>
                <w:b/>
                <w:bCs/>
              </w:rPr>
              <w:t xml:space="preserve">Public </w:t>
            </w:r>
            <w:r w:rsidRPr="00D06A72">
              <w:rPr>
                <w:rFonts w:ascii="Calibri" w:hAnsi="Calibri" w:cs="Calibri"/>
                <w:b/>
                <w:bCs/>
              </w:rPr>
              <w:t>Auction</w:t>
            </w:r>
          </w:p>
        </w:tc>
        <w:tc>
          <w:tcPr>
            <w:tcW w:w="4860" w:type="dxa"/>
            <w:shd w:val="clear" w:color="auto" w:fill="D9D9D9" w:themeFill="background1" w:themeFillShade="D9"/>
            <w:vAlign w:val="bottom"/>
          </w:tcPr>
          <w:p w14:paraId="35291785" w14:textId="009E8509" w:rsidR="00812434" w:rsidRPr="00D06A72" w:rsidRDefault="00FB2537" w:rsidP="00D26F7C">
            <w:pPr>
              <w:rPr>
                <w:rFonts w:ascii="Calibri" w:hAnsi="Calibri" w:cs="Calibri"/>
                <w:b/>
                <w:bCs/>
                <w:u w:val="single"/>
              </w:rPr>
            </w:pPr>
            <w:r w:rsidRPr="00D06A72">
              <w:rPr>
                <w:rFonts w:ascii="Calibri" w:hAnsi="Calibri" w:cs="Calibri"/>
                <w:b/>
                <w:bCs/>
                <w:u w:val="single"/>
              </w:rPr>
              <w:t>I</w:t>
            </w:r>
            <w:r w:rsidR="00812434" w:rsidRPr="00D06A72">
              <w:rPr>
                <w:rFonts w:ascii="Calibri" w:hAnsi="Calibri" w:cs="Calibri"/>
                <w:b/>
                <w:bCs/>
                <w:u w:val="single"/>
              </w:rPr>
              <w:t xml:space="preserve">f property remains unsold after 30 days: </w:t>
            </w:r>
          </w:p>
          <w:p w14:paraId="0DEBCABE" w14:textId="63A1117F" w:rsidR="004C086C" w:rsidRPr="00D06A72" w:rsidRDefault="004C086C" w:rsidP="00D26F7C">
            <w:pPr>
              <w:rPr>
                <w:rFonts w:ascii="Calibri" w:hAnsi="Calibri" w:cs="Calibri"/>
                <w:b/>
                <w:bCs/>
              </w:rPr>
            </w:pPr>
            <w:r w:rsidRPr="00D06A72">
              <w:rPr>
                <w:rFonts w:ascii="Calibri" w:hAnsi="Calibri" w:cs="Calibri"/>
                <w:b/>
                <w:bCs/>
              </w:rPr>
              <w:t xml:space="preserve">Subsequent </w:t>
            </w:r>
            <w:r w:rsidR="000E072F" w:rsidRPr="00D06A72">
              <w:rPr>
                <w:rFonts w:ascii="Calibri" w:hAnsi="Calibri" w:cs="Calibri"/>
                <w:b/>
                <w:bCs/>
              </w:rPr>
              <w:t xml:space="preserve">Public </w:t>
            </w:r>
            <w:r w:rsidRPr="00D06A72">
              <w:rPr>
                <w:rFonts w:ascii="Calibri" w:hAnsi="Calibri" w:cs="Calibri"/>
                <w:b/>
                <w:bCs/>
              </w:rPr>
              <w:t>Auction</w:t>
            </w:r>
          </w:p>
        </w:tc>
      </w:tr>
      <w:bookmarkEnd w:id="0"/>
      <w:tr w:rsidR="004C086C" w:rsidRPr="00D06A72" w14:paraId="5BC66B7A" w14:textId="77777777" w:rsidTr="00D31F9F">
        <w:tc>
          <w:tcPr>
            <w:tcW w:w="4945" w:type="dxa"/>
          </w:tcPr>
          <w:p w14:paraId="633797E4" w14:textId="5DC73EE5" w:rsidR="004C086C" w:rsidRPr="00D06A72" w:rsidRDefault="00884CC4" w:rsidP="00CA7735">
            <w:pPr>
              <w:rPr>
                <w:rFonts w:ascii="Calibri" w:hAnsi="Calibri" w:cs="Calibri"/>
              </w:rPr>
            </w:pPr>
            <w:r w:rsidRPr="00884CC4">
              <w:rPr>
                <w:rFonts w:ascii="Calibri" w:hAnsi="Calibri" w:cs="Calibri"/>
              </w:rPr>
              <w:t>March</w:t>
            </w:r>
            <w:r w:rsidR="00752A4F" w:rsidRPr="00884CC4">
              <w:rPr>
                <w:rFonts w:ascii="Calibri" w:hAnsi="Calibri" w:cs="Calibri"/>
              </w:rPr>
              <w:t xml:space="preserve"> </w:t>
            </w:r>
            <w:r w:rsidRPr="00884CC4">
              <w:rPr>
                <w:rFonts w:ascii="Calibri" w:hAnsi="Calibri" w:cs="Calibri"/>
              </w:rPr>
              <w:t>6</w:t>
            </w:r>
            <w:r w:rsidR="00752A4F" w:rsidRPr="00884CC4">
              <w:rPr>
                <w:rFonts w:ascii="Calibri" w:hAnsi="Calibri" w:cs="Calibri"/>
              </w:rPr>
              <w:t>,</w:t>
            </w:r>
            <w:r w:rsidRPr="00884CC4">
              <w:rPr>
                <w:rFonts w:ascii="Calibri" w:hAnsi="Calibri" w:cs="Calibri"/>
              </w:rPr>
              <w:t xml:space="preserve"> </w:t>
            </w:r>
            <w:r w:rsidR="00752A4F" w:rsidRPr="00884CC4">
              <w:rPr>
                <w:rFonts w:ascii="Calibri" w:hAnsi="Calibri" w:cs="Calibri"/>
              </w:rPr>
              <w:t>2026</w:t>
            </w:r>
            <w:r w:rsidR="00577D42" w:rsidRPr="00884CC4">
              <w:rPr>
                <w:rFonts w:ascii="Calibri" w:hAnsi="Calibri" w:cs="Calibri"/>
              </w:rPr>
              <w:t>,</w:t>
            </w:r>
            <w:r w:rsidR="004C086C" w:rsidRPr="00884CC4">
              <w:rPr>
                <w:rFonts w:ascii="Calibri" w:hAnsi="Calibri" w:cs="Calibri"/>
              </w:rPr>
              <w:t xml:space="preserve"> </w:t>
            </w:r>
            <w:r w:rsidR="00B1668C" w:rsidRPr="00884CC4">
              <w:rPr>
                <w:rFonts w:ascii="Calibri" w:hAnsi="Calibri" w:cs="Calibri"/>
              </w:rPr>
              <w:t>1</w:t>
            </w:r>
            <w:r w:rsidR="004C086C" w:rsidRPr="00884CC4">
              <w:rPr>
                <w:rFonts w:ascii="Calibri" w:hAnsi="Calibri" w:cs="Calibri"/>
              </w:rPr>
              <w:t>:00 p.m.</w:t>
            </w:r>
          </w:p>
          <w:p w14:paraId="3F94C2C7" w14:textId="3F1DCB6C" w:rsidR="004C086C" w:rsidRPr="00D06A72" w:rsidRDefault="004C086C" w:rsidP="00CA7735">
            <w:pPr>
              <w:rPr>
                <w:rFonts w:ascii="Calibri" w:hAnsi="Calibri" w:cs="Calibri"/>
              </w:rPr>
            </w:pPr>
            <w:r w:rsidRPr="00D06A72">
              <w:rPr>
                <w:rFonts w:ascii="Calibri" w:hAnsi="Calibri" w:cs="Calibri"/>
              </w:rPr>
              <w:t>Washington County Government Center</w:t>
            </w:r>
            <w:r w:rsidR="00884CC4">
              <w:rPr>
                <w:rFonts w:ascii="Calibri" w:hAnsi="Calibri" w:cs="Calibri"/>
              </w:rPr>
              <w:t xml:space="preserve"> Room LL13</w:t>
            </w:r>
          </w:p>
          <w:p w14:paraId="0B78B8B6" w14:textId="5CE65BAB" w:rsidR="004C086C" w:rsidRPr="00D06A72" w:rsidRDefault="0044130C" w:rsidP="00CA7735">
            <w:pPr>
              <w:rPr>
                <w:rFonts w:ascii="Calibri" w:hAnsi="Calibri" w:cs="Calibri"/>
              </w:rPr>
            </w:pPr>
            <w:r w:rsidRPr="00D06A72">
              <w:rPr>
                <w:rFonts w:ascii="Calibri" w:hAnsi="Calibri" w:cs="Calibri"/>
              </w:rPr>
              <w:t>14949 62</w:t>
            </w:r>
            <w:r w:rsidRPr="00D06A72">
              <w:rPr>
                <w:rFonts w:ascii="Calibri" w:hAnsi="Calibri" w:cs="Calibri"/>
                <w:vertAlign w:val="superscript"/>
              </w:rPr>
              <w:t>nd</w:t>
            </w:r>
            <w:r w:rsidRPr="00D06A72">
              <w:rPr>
                <w:rFonts w:ascii="Calibri" w:hAnsi="Calibri" w:cs="Calibri"/>
              </w:rPr>
              <w:t xml:space="preserve"> Street N</w:t>
            </w:r>
          </w:p>
          <w:p w14:paraId="7801DE0C" w14:textId="20CAAB6E" w:rsidR="004C086C" w:rsidRPr="00D06A72" w:rsidRDefault="004C086C" w:rsidP="00CA7735">
            <w:pPr>
              <w:rPr>
                <w:rFonts w:ascii="Calibri" w:hAnsi="Calibri" w:cs="Calibri"/>
              </w:rPr>
            </w:pPr>
            <w:r w:rsidRPr="00D06A72">
              <w:rPr>
                <w:rFonts w:ascii="Calibri" w:hAnsi="Calibri" w:cs="Calibri"/>
              </w:rPr>
              <w:t>Stillwater, Minnesota</w:t>
            </w:r>
          </w:p>
        </w:tc>
        <w:tc>
          <w:tcPr>
            <w:tcW w:w="4860" w:type="dxa"/>
          </w:tcPr>
          <w:p w14:paraId="6AE0AD03" w14:textId="680FCECC" w:rsidR="004C086C" w:rsidRPr="00D06A72" w:rsidRDefault="00884CC4" w:rsidP="00D26F7C">
            <w:pPr>
              <w:rPr>
                <w:rFonts w:ascii="Calibri" w:hAnsi="Calibri" w:cs="Calibri"/>
              </w:rPr>
            </w:pPr>
            <w:r w:rsidRPr="00884CC4">
              <w:rPr>
                <w:rFonts w:ascii="Calibri" w:hAnsi="Calibri" w:cs="Calibri"/>
              </w:rPr>
              <w:t>April</w:t>
            </w:r>
            <w:r w:rsidR="00752A4F" w:rsidRPr="00884CC4">
              <w:rPr>
                <w:rFonts w:ascii="Calibri" w:hAnsi="Calibri" w:cs="Calibri"/>
              </w:rPr>
              <w:t xml:space="preserve"> </w:t>
            </w:r>
            <w:r w:rsidRPr="00884CC4">
              <w:rPr>
                <w:rFonts w:ascii="Calibri" w:hAnsi="Calibri" w:cs="Calibri"/>
              </w:rPr>
              <w:t>6</w:t>
            </w:r>
            <w:r w:rsidR="00752A4F" w:rsidRPr="00884CC4">
              <w:rPr>
                <w:rFonts w:ascii="Calibri" w:hAnsi="Calibri" w:cs="Calibri"/>
              </w:rPr>
              <w:t>, 2026,</w:t>
            </w:r>
            <w:r w:rsidR="000B24A5" w:rsidRPr="00884CC4">
              <w:rPr>
                <w:rFonts w:ascii="Calibri" w:hAnsi="Calibri" w:cs="Calibri"/>
              </w:rPr>
              <w:t xml:space="preserve"> </w:t>
            </w:r>
            <w:r w:rsidRPr="00884CC4">
              <w:rPr>
                <w:rFonts w:ascii="Calibri" w:hAnsi="Calibri" w:cs="Calibri"/>
              </w:rPr>
              <w:t>1</w:t>
            </w:r>
            <w:r w:rsidR="000B24A5" w:rsidRPr="00884CC4">
              <w:rPr>
                <w:rFonts w:ascii="Calibri" w:hAnsi="Calibri" w:cs="Calibri"/>
              </w:rPr>
              <w:t>:00 p.m</w:t>
            </w:r>
            <w:r w:rsidR="00201DA5" w:rsidRPr="00884CC4">
              <w:rPr>
                <w:rFonts w:ascii="Calibri" w:hAnsi="Calibri" w:cs="Calibri"/>
              </w:rPr>
              <w:t>.</w:t>
            </w:r>
          </w:p>
          <w:p w14:paraId="576A47D2" w14:textId="1BF8A196" w:rsidR="004C086C" w:rsidRPr="00D06A72" w:rsidRDefault="004C086C" w:rsidP="004C086C">
            <w:pPr>
              <w:rPr>
                <w:rFonts w:ascii="Calibri" w:hAnsi="Calibri" w:cs="Calibri"/>
              </w:rPr>
            </w:pPr>
            <w:r w:rsidRPr="00D06A72">
              <w:rPr>
                <w:rFonts w:ascii="Calibri" w:hAnsi="Calibri" w:cs="Calibri"/>
              </w:rPr>
              <w:t>Washington County Government Center</w:t>
            </w:r>
            <w:r w:rsidR="00884CC4">
              <w:rPr>
                <w:rFonts w:ascii="Calibri" w:hAnsi="Calibri" w:cs="Calibri"/>
              </w:rPr>
              <w:t xml:space="preserve"> Room LL13</w:t>
            </w:r>
          </w:p>
          <w:p w14:paraId="235227D8" w14:textId="2ADF7ADA" w:rsidR="004C086C" w:rsidRPr="00D06A72" w:rsidRDefault="0044130C" w:rsidP="004C086C">
            <w:pPr>
              <w:rPr>
                <w:rFonts w:ascii="Calibri" w:hAnsi="Calibri" w:cs="Calibri"/>
              </w:rPr>
            </w:pPr>
            <w:r w:rsidRPr="00D06A72">
              <w:rPr>
                <w:rFonts w:ascii="Calibri" w:hAnsi="Calibri" w:cs="Calibri"/>
              </w:rPr>
              <w:t>14949 62</w:t>
            </w:r>
            <w:r w:rsidRPr="00D06A72">
              <w:rPr>
                <w:rFonts w:ascii="Calibri" w:hAnsi="Calibri" w:cs="Calibri"/>
                <w:vertAlign w:val="superscript"/>
              </w:rPr>
              <w:t>nd</w:t>
            </w:r>
            <w:r w:rsidRPr="00D06A72">
              <w:rPr>
                <w:rFonts w:ascii="Calibri" w:hAnsi="Calibri" w:cs="Calibri"/>
              </w:rPr>
              <w:t xml:space="preserve"> Street N</w:t>
            </w:r>
          </w:p>
          <w:p w14:paraId="7AB062AC" w14:textId="21CF5A2B" w:rsidR="004C086C" w:rsidRPr="00D06A72" w:rsidRDefault="004C086C" w:rsidP="004C086C">
            <w:pPr>
              <w:rPr>
                <w:rFonts w:ascii="Calibri" w:hAnsi="Calibri" w:cs="Calibri"/>
              </w:rPr>
            </w:pPr>
            <w:r w:rsidRPr="00D06A72">
              <w:rPr>
                <w:rFonts w:ascii="Calibri" w:hAnsi="Calibri" w:cs="Calibri"/>
              </w:rPr>
              <w:t>Stillwater, Minnesota</w:t>
            </w:r>
          </w:p>
        </w:tc>
      </w:tr>
    </w:tbl>
    <w:p w14:paraId="2CBBDB41" w14:textId="77777777" w:rsidR="00F919FE" w:rsidRPr="00D06A72" w:rsidRDefault="00F919FE" w:rsidP="00D26F7C">
      <w:pPr>
        <w:spacing w:after="0"/>
        <w:rPr>
          <w:rFonts w:ascii="Calibri" w:hAnsi="Calibri" w:cs="Calibri"/>
          <w:b/>
          <w:bCs/>
        </w:rPr>
      </w:pPr>
    </w:p>
    <w:tbl>
      <w:tblPr>
        <w:tblStyle w:val="TableGrid"/>
        <w:tblW w:w="9805" w:type="dxa"/>
        <w:tblLook w:val="04A0" w:firstRow="1" w:lastRow="0" w:firstColumn="1" w:lastColumn="0" w:noHBand="0" w:noVBand="1"/>
      </w:tblPr>
      <w:tblGrid>
        <w:gridCol w:w="2245"/>
        <w:gridCol w:w="2610"/>
        <w:gridCol w:w="2078"/>
        <w:gridCol w:w="2872"/>
      </w:tblGrid>
      <w:tr w:rsidR="008617FA" w:rsidRPr="00D06A72" w14:paraId="0A93AD3E" w14:textId="57116F1F" w:rsidTr="00D31F9F">
        <w:tc>
          <w:tcPr>
            <w:tcW w:w="2245" w:type="dxa"/>
            <w:shd w:val="clear" w:color="auto" w:fill="D9D9D9" w:themeFill="background1" w:themeFillShade="D9"/>
            <w:vAlign w:val="bottom"/>
          </w:tcPr>
          <w:p w14:paraId="2E44C38D" w14:textId="095F4FB6" w:rsidR="00F919FE" w:rsidRPr="00D06A72" w:rsidRDefault="00F919FE" w:rsidP="00F919FE">
            <w:pPr>
              <w:jc w:val="center"/>
              <w:rPr>
                <w:rFonts w:ascii="Calibri" w:hAnsi="Calibri" w:cs="Calibri"/>
                <w:b/>
                <w:bCs/>
              </w:rPr>
            </w:pPr>
            <w:r w:rsidRPr="00D06A72">
              <w:rPr>
                <w:rFonts w:ascii="Calibri" w:hAnsi="Calibri" w:cs="Calibri"/>
                <w:b/>
                <w:bCs/>
              </w:rPr>
              <w:t>Municipality</w:t>
            </w:r>
          </w:p>
        </w:tc>
        <w:tc>
          <w:tcPr>
            <w:tcW w:w="2610" w:type="dxa"/>
            <w:shd w:val="clear" w:color="auto" w:fill="D9D9D9" w:themeFill="background1" w:themeFillShade="D9"/>
            <w:vAlign w:val="bottom"/>
          </w:tcPr>
          <w:p w14:paraId="72AF737D" w14:textId="77777777" w:rsidR="008617FA" w:rsidRPr="00D06A72" w:rsidRDefault="00F919FE" w:rsidP="00F919FE">
            <w:pPr>
              <w:jc w:val="center"/>
              <w:rPr>
                <w:rFonts w:ascii="Calibri" w:hAnsi="Calibri" w:cs="Calibri"/>
                <w:b/>
                <w:bCs/>
              </w:rPr>
            </w:pPr>
            <w:r w:rsidRPr="00D06A72">
              <w:rPr>
                <w:rFonts w:ascii="Calibri" w:hAnsi="Calibri" w:cs="Calibri"/>
                <w:b/>
                <w:bCs/>
              </w:rPr>
              <w:t>P</w:t>
            </w:r>
            <w:r w:rsidR="00005D77" w:rsidRPr="00D06A72">
              <w:rPr>
                <w:rFonts w:ascii="Calibri" w:hAnsi="Calibri" w:cs="Calibri"/>
                <w:b/>
                <w:bCs/>
              </w:rPr>
              <w:t>arcel</w:t>
            </w:r>
          </w:p>
          <w:p w14:paraId="041C0347" w14:textId="77777777" w:rsidR="00B82DF4" w:rsidRPr="00D06A72" w:rsidRDefault="00005D77" w:rsidP="00F919FE">
            <w:pPr>
              <w:jc w:val="center"/>
              <w:rPr>
                <w:rFonts w:ascii="Calibri" w:hAnsi="Calibri" w:cs="Calibri"/>
                <w:b/>
                <w:bCs/>
              </w:rPr>
            </w:pPr>
            <w:r w:rsidRPr="00D06A72">
              <w:rPr>
                <w:rFonts w:ascii="Calibri" w:hAnsi="Calibri" w:cs="Calibri"/>
                <w:b/>
                <w:bCs/>
              </w:rPr>
              <w:t>Identification</w:t>
            </w:r>
          </w:p>
          <w:p w14:paraId="1F0EC062" w14:textId="41B65FCF" w:rsidR="00F919FE" w:rsidRPr="00D06A72" w:rsidRDefault="00005D77" w:rsidP="00F919FE">
            <w:pPr>
              <w:jc w:val="center"/>
              <w:rPr>
                <w:rFonts w:ascii="Calibri" w:hAnsi="Calibri" w:cs="Calibri"/>
                <w:b/>
                <w:bCs/>
              </w:rPr>
            </w:pPr>
            <w:r w:rsidRPr="00D06A72">
              <w:rPr>
                <w:rFonts w:ascii="Calibri" w:hAnsi="Calibri" w:cs="Calibri"/>
                <w:b/>
                <w:bCs/>
              </w:rPr>
              <w:t>Number</w:t>
            </w:r>
          </w:p>
        </w:tc>
        <w:tc>
          <w:tcPr>
            <w:tcW w:w="2078" w:type="dxa"/>
            <w:shd w:val="clear" w:color="auto" w:fill="D9D9D9" w:themeFill="background1" w:themeFillShade="D9"/>
            <w:vAlign w:val="bottom"/>
          </w:tcPr>
          <w:p w14:paraId="2EC45852" w14:textId="77777777" w:rsidR="00E437E4" w:rsidRPr="00D06A72" w:rsidRDefault="00E437E4" w:rsidP="00F919FE">
            <w:pPr>
              <w:jc w:val="center"/>
              <w:rPr>
                <w:rFonts w:ascii="Calibri" w:hAnsi="Calibri" w:cs="Calibri"/>
                <w:b/>
                <w:bCs/>
              </w:rPr>
            </w:pPr>
            <w:r w:rsidRPr="00D06A72">
              <w:rPr>
                <w:rFonts w:ascii="Calibri" w:hAnsi="Calibri" w:cs="Calibri"/>
                <w:b/>
                <w:bCs/>
              </w:rPr>
              <w:t>Initial Auction</w:t>
            </w:r>
          </w:p>
          <w:p w14:paraId="13F72002" w14:textId="3FF3018B" w:rsidR="002B180C" w:rsidRPr="00D06A72" w:rsidRDefault="00D87AB3" w:rsidP="00AF109C">
            <w:pPr>
              <w:jc w:val="center"/>
              <w:rPr>
                <w:rFonts w:ascii="Calibri" w:hAnsi="Calibri" w:cs="Calibri"/>
                <w:b/>
                <w:bCs/>
              </w:rPr>
            </w:pPr>
            <w:r w:rsidRPr="00D06A72">
              <w:rPr>
                <w:rFonts w:ascii="Calibri" w:hAnsi="Calibri" w:cs="Calibri"/>
                <w:b/>
                <w:bCs/>
              </w:rPr>
              <w:t xml:space="preserve">Initial </w:t>
            </w:r>
            <w:r w:rsidR="003E19B1" w:rsidRPr="00D06A72">
              <w:rPr>
                <w:rFonts w:ascii="Calibri" w:hAnsi="Calibri" w:cs="Calibri"/>
                <w:b/>
                <w:bCs/>
              </w:rPr>
              <w:t>Price</w:t>
            </w:r>
          </w:p>
        </w:tc>
        <w:tc>
          <w:tcPr>
            <w:tcW w:w="2872" w:type="dxa"/>
            <w:shd w:val="clear" w:color="auto" w:fill="D9D9D9" w:themeFill="background1" w:themeFillShade="D9"/>
            <w:vAlign w:val="bottom"/>
          </w:tcPr>
          <w:p w14:paraId="41A3CCA1" w14:textId="047E9577" w:rsidR="00AF109C" w:rsidRPr="00D06A72" w:rsidRDefault="00AF109C" w:rsidP="00F919FE">
            <w:pPr>
              <w:jc w:val="center"/>
              <w:rPr>
                <w:rFonts w:ascii="Calibri" w:hAnsi="Calibri" w:cs="Calibri"/>
                <w:b/>
                <w:bCs/>
                <w:u w:val="single"/>
              </w:rPr>
            </w:pPr>
            <w:r w:rsidRPr="00D06A72">
              <w:rPr>
                <w:rFonts w:ascii="Calibri" w:hAnsi="Calibri" w:cs="Calibri"/>
                <w:b/>
                <w:bCs/>
                <w:u w:val="single"/>
              </w:rPr>
              <w:t>If unsold after 30 days</w:t>
            </w:r>
            <w:r w:rsidR="00760E19" w:rsidRPr="00D06A72">
              <w:rPr>
                <w:rFonts w:ascii="Calibri" w:hAnsi="Calibri" w:cs="Calibri"/>
                <w:b/>
                <w:bCs/>
                <w:u w:val="single"/>
              </w:rPr>
              <w:t>:</w:t>
            </w:r>
          </w:p>
          <w:p w14:paraId="36D3AFE2" w14:textId="50DCCCA6" w:rsidR="00E437E4" w:rsidRPr="00D06A72" w:rsidRDefault="00E437E4" w:rsidP="00F919FE">
            <w:pPr>
              <w:jc w:val="center"/>
              <w:rPr>
                <w:rFonts w:ascii="Calibri" w:hAnsi="Calibri" w:cs="Calibri"/>
                <w:b/>
                <w:bCs/>
              </w:rPr>
            </w:pPr>
            <w:r w:rsidRPr="00D06A72">
              <w:rPr>
                <w:rFonts w:ascii="Calibri" w:hAnsi="Calibri" w:cs="Calibri"/>
                <w:b/>
                <w:bCs/>
              </w:rPr>
              <w:t>Sub</w:t>
            </w:r>
            <w:r w:rsidR="00A53A9C" w:rsidRPr="00D06A72">
              <w:rPr>
                <w:rFonts w:ascii="Calibri" w:hAnsi="Calibri" w:cs="Calibri"/>
                <w:b/>
                <w:bCs/>
              </w:rPr>
              <w:t>s</w:t>
            </w:r>
            <w:r w:rsidRPr="00D06A72">
              <w:rPr>
                <w:rFonts w:ascii="Calibri" w:hAnsi="Calibri" w:cs="Calibri"/>
                <w:b/>
                <w:bCs/>
              </w:rPr>
              <w:t>equent Auction</w:t>
            </w:r>
          </w:p>
          <w:p w14:paraId="52E0CD4E" w14:textId="7A501B05" w:rsidR="00F919FE" w:rsidRPr="00D06A72" w:rsidRDefault="001409F4" w:rsidP="00AF109C">
            <w:pPr>
              <w:jc w:val="center"/>
              <w:rPr>
                <w:rFonts w:ascii="Calibri" w:hAnsi="Calibri" w:cs="Calibri"/>
                <w:b/>
                <w:bCs/>
              </w:rPr>
            </w:pPr>
            <w:r w:rsidRPr="00D06A72">
              <w:rPr>
                <w:rFonts w:ascii="Calibri" w:hAnsi="Calibri" w:cs="Calibri"/>
                <w:b/>
                <w:bCs/>
              </w:rPr>
              <w:t>Minimum Bid</w:t>
            </w:r>
          </w:p>
        </w:tc>
      </w:tr>
      <w:tr w:rsidR="00B82DF4" w:rsidRPr="00D06A72" w14:paraId="5F2236C2" w14:textId="77777777" w:rsidTr="00D31F9F">
        <w:tc>
          <w:tcPr>
            <w:tcW w:w="2245" w:type="dxa"/>
          </w:tcPr>
          <w:p w14:paraId="58719370" w14:textId="37ED92E7" w:rsidR="00F919FE" w:rsidRPr="00D06A72" w:rsidRDefault="000244AE" w:rsidP="00D26F7C">
            <w:pPr>
              <w:rPr>
                <w:rFonts w:ascii="Calibri" w:hAnsi="Calibri" w:cs="Calibri"/>
              </w:rPr>
            </w:pPr>
            <w:r w:rsidRPr="00D06A72">
              <w:rPr>
                <w:rFonts w:ascii="Calibri" w:hAnsi="Calibri" w:cs="Calibri"/>
              </w:rPr>
              <w:t>City of Hugo</w:t>
            </w:r>
          </w:p>
        </w:tc>
        <w:tc>
          <w:tcPr>
            <w:tcW w:w="2610" w:type="dxa"/>
          </w:tcPr>
          <w:p w14:paraId="1832227B" w14:textId="23FCA802" w:rsidR="00F919FE" w:rsidRPr="00D06A72" w:rsidRDefault="000244AE" w:rsidP="007A3206">
            <w:pPr>
              <w:jc w:val="center"/>
              <w:rPr>
                <w:rFonts w:ascii="Calibri" w:hAnsi="Calibri" w:cs="Calibri"/>
              </w:rPr>
            </w:pPr>
            <w:r w:rsidRPr="00D06A72">
              <w:rPr>
                <w:rFonts w:ascii="Calibri" w:hAnsi="Calibri" w:cs="Calibri"/>
              </w:rPr>
              <w:t>08.031.21.41.0013</w:t>
            </w:r>
          </w:p>
        </w:tc>
        <w:tc>
          <w:tcPr>
            <w:tcW w:w="2078" w:type="dxa"/>
          </w:tcPr>
          <w:p w14:paraId="566186A6" w14:textId="3A99BBA3" w:rsidR="00F919FE" w:rsidRPr="00D06A72" w:rsidRDefault="00D87AB3" w:rsidP="005753B0">
            <w:pPr>
              <w:ind w:left="434" w:right="442"/>
              <w:jc w:val="right"/>
              <w:rPr>
                <w:rFonts w:ascii="Calibri" w:hAnsi="Calibri" w:cs="Calibri"/>
              </w:rPr>
            </w:pPr>
            <w:r w:rsidRPr="00D06A72">
              <w:rPr>
                <w:rFonts w:ascii="Calibri" w:hAnsi="Calibri" w:cs="Calibri"/>
              </w:rPr>
              <w:t>$</w:t>
            </w:r>
            <w:r w:rsidR="00752A4F" w:rsidRPr="00D06A72">
              <w:rPr>
                <w:rFonts w:ascii="Calibri" w:hAnsi="Calibri" w:cs="Calibri"/>
              </w:rPr>
              <w:t>3,000.00</w:t>
            </w:r>
          </w:p>
        </w:tc>
        <w:tc>
          <w:tcPr>
            <w:tcW w:w="2872" w:type="dxa"/>
          </w:tcPr>
          <w:p w14:paraId="76777075" w14:textId="67EADD31" w:rsidR="00F919FE" w:rsidRPr="00D06A72" w:rsidRDefault="00F919FE" w:rsidP="005753B0">
            <w:pPr>
              <w:ind w:right="702"/>
              <w:jc w:val="right"/>
              <w:rPr>
                <w:rFonts w:ascii="Calibri" w:hAnsi="Calibri" w:cs="Calibri"/>
              </w:rPr>
            </w:pPr>
            <w:r w:rsidRPr="00A27D1E">
              <w:rPr>
                <w:rFonts w:ascii="Calibri" w:hAnsi="Calibri" w:cs="Calibri"/>
              </w:rPr>
              <w:t>$</w:t>
            </w:r>
            <w:r w:rsidR="00752A4F" w:rsidRPr="00A27D1E">
              <w:rPr>
                <w:rFonts w:ascii="Calibri" w:hAnsi="Calibri" w:cs="Calibri"/>
              </w:rPr>
              <w:t>3,000.00</w:t>
            </w:r>
          </w:p>
        </w:tc>
      </w:tr>
    </w:tbl>
    <w:p w14:paraId="531A4E7F" w14:textId="16017F32" w:rsidR="00B613D8" w:rsidRDefault="00B613D8" w:rsidP="00AA5ABE">
      <w:pPr>
        <w:spacing w:before="120" w:after="0" w:line="240" w:lineRule="auto"/>
        <w:rPr>
          <w:rFonts w:ascii="Calibri" w:hAnsi="Calibri" w:cs="Calibri"/>
        </w:rPr>
      </w:pPr>
      <w:r>
        <w:rPr>
          <w:rFonts w:ascii="Calibri" w:hAnsi="Calibri" w:cs="Calibri"/>
        </w:rPr>
        <w:t>Special Assessments Cancelled at Forfeiture:</w:t>
      </w:r>
      <w:r>
        <w:rPr>
          <w:rFonts w:ascii="Calibri" w:hAnsi="Calibri" w:cs="Calibri"/>
        </w:rPr>
        <w:tab/>
        <w:t>$1,170.60</w:t>
      </w:r>
    </w:p>
    <w:p w14:paraId="22209C2E" w14:textId="73EB0E6E" w:rsidR="00B613D8" w:rsidRDefault="00B613D8" w:rsidP="00B613D8">
      <w:pPr>
        <w:spacing w:after="0" w:line="240" w:lineRule="auto"/>
        <w:rPr>
          <w:rFonts w:ascii="Calibri" w:hAnsi="Calibri" w:cs="Calibri"/>
        </w:rPr>
      </w:pPr>
      <w:r>
        <w:rPr>
          <w:rFonts w:ascii="Calibri" w:hAnsi="Calibri" w:cs="Calibri"/>
        </w:rPr>
        <w:t>Assessments Certified After Forfeiture</w:t>
      </w:r>
      <w:proofErr w:type="gramStart"/>
      <w:r>
        <w:rPr>
          <w:rFonts w:ascii="Calibri" w:hAnsi="Calibri" w:cs="Calibri"/>
        </w:rPr>
        <w:t>:</w:t>
      </w:r>
      <w:r>
        <w:rPr>
          <w:rFonts w:ascii="Calibri" w:hAnsi="Calibri" w:cs="Calibri"/>
        </w:rPr>
        <w:tab/>
      </w:r>
      <w:r>
        <w:rPr>
          <w:rFonts w:ascii="Calibri" w:hAnsi="Calibri" w:cs="Calibri"/>
        </w:rPr>
        <w:tab/>
        <w:t>$</w:t>
      </w:r>
      <w:proofErr w:type="gramEnd"/>
      <w:r>
        <w:rPr>
          <w:rFonts w:ascii="Calibri" w:hAnsi="Calibri" w:cs="Calibri"/>
        </w:rPr>
        <w:t>873.70</w:t>
      </w:r>
    </w:p>
    <w:p w14:paraId="701DD2E5" w14:textId="5F498282" w:rsidR="0037002C" w:rsidRPr="00D06A72" w:rsidRDefault="00B112A1" w:rsidP="00AA5ABE">
      <w:pPr>
        <w:spacing w:before="120" w:after="0" w:line="240" w:lineRule="auto"/>
        <w:rPr>
          <w:rFonts w:ascii="Calibri" w:hAnsi="Calibri" w:cs="Calibri"/>
        </w:rPr>
      </w:pPr>
      <w:r w:rsidRPr="00D06A72">
        <w:rPr>
          <w:rFonts w:ascii="Calibri" w:hAnsi="Calibri" w:cs="Calibri"/>
        </w:rPr>
        <w:t>F</w:t>
      </w:r>
      <w:r w:rsidR="00B613D8">
        <w:rPr>
          <w:rFonts w:ascii="Calibri" w:hAnsi="Calibri" w:cs="Calibri"/>
        </w:rPr>
        <w:t>or purchases of $10,000 or less, f</w:t>
      </w:r>
      <w:r w:rsidRPr="00D06A72">
        <w:rPr>
          <w:rFonts w:ascii="Calibri" w:hAnsi="Calibri" w:cs="Calibri"/>
        </w:rPr>
        <w:t xml:space="preserve">ull payment is due at </w:t>
      </w:r>
      <w:r w:rsidR="00521645" w:rsidRPr="00D06A72">
        <w:rPr>
          <w:rFonts w:ascii="Calibri" w:hAnsi="Calibri" w:cs="Calibri"/>
        </w:rPr>
        <w:t xml:space="preserve">the </w:t>
      </w:r>
      <w:r w:rsidRPr="00D06A72">
        <w:rPr>
          <w:rFonts w:ascii="Calibri" w:hAnsi="Calibri" w:cs="Calibri"/>
        </w:rPr>
        <w:t>time of purchase</w:t>
      </w:r>
      <w:r w:rsidR="00CB3CE5" w:rsidRPr="00D06A72">
        <w:rPr>
          <w:rFonts w:ascii="Calibri" w:hAnsi="Calibri" w:cs="Calibri"/>
        </w:rPr>
        <w:t>,</w:t>
      </w:r>
      <w:r w:rsidRPr="00D06A72">
        <w:rPr>
          <w:rFonts w:ascii="Calibri" w:hAnsi="Calibri" w:cs="Calibri"/>
        </w:rPr>
        <w:t xml:space="preserve"> </w:t>
      </w:r>
      <w:r w:rsidR="0026558A" w:rsidRPr="00D06A72">
        <w:rPr>
          <w:rFonts w:ascii="Calibri" w:hAnsi="Calibri" w:cs="Calibri"/>
        </w:rPr>
        <w:t>along with a</w:t>
      </w:r>
      <w:r w:rsidR="00D53B78" w:rsidRPr="00D06A72">
        <w:rPr>
          <w:rFonts w:ascii="Calibri" w:hAnsi="Calibri" w:cs="Calibri"/>
        </w:rPr>
        <w:t xml:space="preserve">dditional costs for state deed tax, </w:t>
      </w:r>
      <w:r w:rsidR="00CA5C69" w:rsidRPr="00D06A72">
        <w:rPr>
          <w:rFonts w:ascii="Calibri" w:hAnsi="Calibri" w:cs="Calibri"/>
        </w:rPr>
        <w:t>state deed and recording fee</w:t>
      </w:r>
      <w:r w:rsidR="006C5896" w:rsidRPr="00D06A72">
        <w:rPr>
          <w:rFonts w:ascii="Calibri" w:hAnsi="Calibri" w:cs="Calibri"/>
        </w:rPr>
        <w:t>s</w:t>
      </w:r>
      <w:r w:rsidR="00CA5C69" w:rsidRPr="00D06A72">
        <w:rPr>
          <w:rFonts w:ascii="Calibri" w:hAnsi="Calibri" w:cs="Calibri"/>
        </w:rPr>
        <w:t xml:space="preserve">, conservation fee, and state assurance </w:t>
      </w:r>
      <w:r w:rsidR="0026558A" w:rsidRPr="00D06A72">
        <w:rPr>
          <w:rFonts w:ascii="Calibri" w:hAnsi="Calibri" w:cs="Calibri"/>
        </w:rPr>
        <w:t>fee.</w:t>
      </w:r>
      <w:r w:rsidR="006C5896" w:rsidRPr="00D06A72">
        <w:rPr>
          <w:rFonts w:ascii="Calibri" w:hAnsi="Calibri" w:cs="Calibri"/>
        </w:rPr>
        <w:t xml:space="preserve">  </w:t>
      </w:r>
      <w:r w:rsidR="00B613D8">
        <w:rPr>
          <w:rFonts w:ascii="Calibri" w:hAnsi="Calibri" w:cs="Calibri"/>
        </w:rPr>
        <w:t xml:space="preserve">For purchases of more than $10,000, 10% of the basic sale price is required at the time of purchase and the remaining balance is due within 10 business days. </w:t>
      </w:r>
      <w:r w:rsidR="00BB2114" w:rsidRPr="00D06A72">
        <w:rPr>
          <w:rFonts w:ascii="Calibri" w:hAnsi="Calibri" w:cs="Calibri"/>
        </w:rPr>
        <w:t>ALL PROPERTY IS SOLD “AS IS” AND MAY NOT CONFORM TO LOCAL BUILDING AND ZONING ORDINANCES. THE COUNTY MAKES NO WARRANTY THAT THE LAND IS BUILDABLE. ALL SALES ARE FINAL, AND NO REFUNDS OR EXCHANGES ARE PERMITTED.</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1823"/>
      </w:tblGrid>
      <w:tr w:rsidR="0064052A" w:rsidRPr="00D06A72" w14:paraId="7F4D5FA9" w14:textId="77777777" w:rsidTr="00527E9C">
        <w:tc>
          <w:tcPr>
            <w:tcW w:w="7627" w:type="dxa"/>
          </w:tcPr>
          <w:p w14:paraId="60CA1B4A" w14:textId="21F811ED" w:rsidR="0064052A" w:rsidRPr="00D06A72" w:rsidRDefault="0064052A" w:rsidP="00F134AE">
            <w:pPr>
              <w:spacing w:before="120"/>
              <w:rPr>
                <w:rFonts w:ascii="Calibri" w:hAnsi="Calibri" w:cs="Calibri"/>
              </w:rPr>
            </w:pPr>
            <w:r w:rsidRPr="00D06A72">
              <w:rPr>
                <w:rFonts w:ascii="Calibri" w:hAnsi="Calibri" w:cs="Calibri"/>
              </w:rPr>
              <w:t>Contact the Washington County Department of Property Records and Taxpayer Services for a complete list of the terms for the sale and for additional information about the sale of tax-forfeited land in Washington County.</w:t>
            </w:r>
          </w:p>
          <w:p w14:paraId="4485DDD8" w14:textId="565EEC69" w:rsidR="0064052A" w:rsidRPr="00D06A72" w:rsidRDefault="0064052A" w:rsidP="00F134AE">
            <w:pPr>
              <w:rPr>
                <w:rFonts w:ascii="Calibri" w:hAnsi="Calibri" w:cs="Calibri"/>
              </w:rPr>
            </w:pPr>
            <w:r w:rsidRPr="00D06A72">
              <w:rPr>
                <w:rFonts w:ascii="Calibri" w:hAnsi="Calibri" w:cs="Calibri"/>
              </w:rPr>
              <w:t>Phone:</w:t>
            </w:r>
            <w:r w:rsidR="00C4702A" w:rsidRPr="00D06A72">
              <w:rPr>
                <w:rFonts w:ascii="Calibri" w:hAnsi="Calibri" w:cs="Calibri"/>
              </w:rPr>
              <w:t xml:space="preserve"> </w:t>
            </w:r>
            <w:r w:rsidRPr="00D06A72">
              <w:rPr>
                <w:rFonts w:ascii="Calibri" w:hAnsi="Calibri" w:cs="Calibri"/>
              </w:rPr>
              <w:t xml:space="preserve">(651)430-6175     Website: www.washingtoncountymn.gov </w:t>
            </w:r>
          </w:p>
          <w:p w14:paraId="33FCF22D" w14:textId="6726360A" w:rsidR="0064052A" w:rsidRPr="00D06A72" w:rsidRDefault="0064052A" w:rsidP="0064052A">
            <w:pPr>
              <w:spacing w:before="120"/>
              <w:rPr>
                <w:rFonts w:ascii="Calibri" w:hAnsi="Calibri" w:cs="Calibri"/>
              </w:rPr>
            </w:pPr>
            <w:r w:rsidRPr="00D06A72">
              <w:rPr>
                <w:rFonts w:ascii="Calibri" w:hAnsi="Calibri" w:cs="Calibri"/>
              </w:rPr>
              <w:t>Jennifer Wagenius</w:t>
            </w:r>
          </w:p>
          <w:p w14:paraId="4C35E3E7" w14:textId="53DE9E57" w:rsidR="00683AB9" w:rsidRPr="00D06A72" w:rsidRDefault="0064052A" w:rsidP="0064052A">
            <w:pPr>
              <w:rPr>
                <w:rFonts w:ascii="Calibri" w:hAnsi="Calibri" w:cs="Calibri"/>
              </w:rPr>
            </w:pPr>
            <w:r w:rsidRPr="00D06A72">
              <w:rPr>
                <w:rFonts w:ascii="Calibri" w:hAnsi="Calibri" w:cs="Calibri"/>
              </w:rPr>
              <w:t>Washington County Auditor-Treasurer</w:t>
            </w:r>
          </w:p>
          <w:p w14:paraId="09E373BB" w14:textId="3E8A527B" w:rsidR="0064052A" w:rsidRPr="00D06A72" w:rsidRDefault="00C05CA2" w:rsidP="00C05CA2">
            <w:pPr>
              <w:pStyle w:val="NormalWeb"/>
              <w:rPr>
                <w:sz w:val="22"/>
                <w:szCs w:val="22"/>
              </w:rPr>
            </w:pPr>
            <w:r w:rsidRPr="00D06A72">
              <w:rPr>
                <w:noProof/>
                <w:sz w:val="22"/>
                <w:szCs w:val="22"/>
              </w:rPr>
              <w:drawing>
                <wp:anchor distT="0" distB="0" distL="114300" distR="114300" simplePos="0" relativeHeight="251659264" behindDoc="1" locked="0" layoutInCell="1" allowOverlap="1" wp14:anchorId="4344E28B" wp14:editId="3E368772">
                  <wp:simplePos x="0" y="0"/>
                  <wp:positionH relativeFrom="column">
                    <wp:posOffset>215341</wp:posOffset>
                  </wp:positionH>
                  <wp:positionV relativeFrom="page">
                    <wp:posOffset>1134186</wp:posOffset>
                  </wp:positionV>
                  <wp:extent cx="958850" cy="271028"/>
                  <wp:effectExtent l="0" t="0" r="0" b="0"/>
                  <wp:wrapNone/>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1" b="3737"/>
                          <a:stretch/>
                        </pic:blipFill>
                        <pic:spPr bwMode="auto">
                          <a:xfrm>
                            <a:off x="0" y="0"/>
                            <a:ext cx="958850" cy="2710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83AB9" w:rsidRPr="00D06A72">
              <w:rPr>
                <w:rFonts w:ascii="Calibri" w:hAnsi="Calibri" w:cs="Calibri"/>
                <w:sz w:val="22"/>
                <w:szCs w:val="22"/>
              </w:rPr>
              <w:t xml:space="preserve">By __________________, Deputy  </w:t>
            </w:r>
            <w:r w:rsidR="0064052A" w:rsidRPr="00D06A72">
              <w:rPr>
                <w:rFonts w:ascii="Calibri" w:hAnsi="Calibri" w:cs="Calibri"/>
                <w:sz w:val="22"/>
                <w:szCs w:val="22"/>
              </w:rPr>
              <w:t xml:space="preserve">       </w:t>
            </w:r>
            <w:r w:rsidR="00884CC4" w:rsidRPr="00884CC4">
              <w:rPr>
                <w:rFonts w:ascii="Calibri" w:hAnsi="Calibri" w:cs="Calibri"/>
                <w:sz w:val="22"/>
                <w:szCs w:val="22"/>
              </w:rPr>
              <w:t>January</w:t>
            </w:r>
            <w:r w:rsidR="00752A4F" w:rsidRPr="00884CC4">
              <w:rPr>
                <w:rFonts w:ascii="Calibri" w:hAnsi="Calibri" w:cs="Calibri"/>
                <w:sz w:val="22"/>
                <w:szCs w:val="22"/>
              </w:rPr>
              <w:t xml:space="preserve"> </w:t>
            </w:r>
            <w:r w:rsidR="00884CC4" w:rsidRPr="00884CC4">
              <w:rPr>
                <w:rFonts w:ascii="Calibri" w:hAnsi="Calibri" w:cs="Calibri"/>
                <w:sz w:val="22"/>
                <w:szCs w:val="22"/>
              </w:rPr>
              <w:t>29</w:t>
            </w:r>
            <w:r w:rsidR="0064052A" w:rsidRPr="00884CC4">
              <w:rPr>
                <w:rFonts w:ascii="Calibri" w:hAnsi="Calibri" w:cs="Calibri"/>
                <w:sz w:val="22"/>
                <w:szCs w:val="22"/>
              </w:rPr>
              <w:t>, 202</w:t>
            </w:r>
            <w:r w:rsidR="00884CC4" w:rsidRPr="00884CC4">
              <w:rPr>
                <w:rFonts w:ascii="Calibri" w:hAnsi="Calibri" w:cs="Calibri"/>
                <w:sz w:val="22"/>
                <w:szCs w:val="22"/>
              </w:rPr>
              <w:t>6</w:t>
            </w:r>
          </w:p>
        </w:tc>
        <w:tc>
          <w:tcPr>
            <w:tcW w:w="1823" w:type="dxa"/>
          </w:tcPr>
          <w:p w14:paraId="75DB7611" w14:textId="77777777" w:rsidR="0064052A" w:rsidRPr="00D06A72" w:rsidRDefault="0064052A" w:rsidP="00CC2AB6">
            <w:pPr>
              <w:rPr>
                <w:rFonts w:ascii="Calibri" w:hAnsi="Calibri" w:cs="Calibri"/>
                <w:b/>
                <w:bCs/>
              </w:rPr>
            </w:pPr>
            <w:r w:rsidRPr="00D06A72">
              <w:rPr>
                <w:noProof/>
              </w:rPr>
              <w:drawing>
                <wp:anchor distT="0" distB="0" distL="114300" distR="114300" simplePos="0" relativeHeight="251658240" behindDoc="0" locked="0" layoutInCell="1" allowOverlap="1" wp14:anchorId="565BCF67" wp14:editId="0F8D61E4">
                  <wp:simplePos x="0" y="0"/>
                  <wp:positionH relativeFrom="column">
                    <wp:posOffset>8890</wp:posOffset>
                  </wp:positionH>
                  <wp:positionV relativeFrom="paragraph">
                    <wp:posOffset>547370</wp:posOffset>
                  </wp:positionV>
                  <wp:extent cx="1014293" cy="1028887"/>
                  <wp:effectExtent l="0" t="0" r="0" b="0"/>
                  <wp:wrapNone/>
                  <wp:docPr id="321255842"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255842" name="Picture 1" descr="Qr cod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14293" cy="1028887"/>
                          </a:xfrm>
                          <a:prstGeom prst="rect">
                            <a:avLst/>
                          </a:prstGeom>
                        </pic:spPr>
                      </pic:pic>
                    </a:graphicData>
                  </a:graphic>
                </wp:anchor>
              </w:drawing>
            </w:r>
          </w:p>
        </w:tc>
      </w:tr>
    </w:tbl>
    <w:p w14:paraId="6F2F0AAC" w14:textId="346AD0A1" w:rsidR="00E21269" w:rsidRPr="00D06A72" w:rsidRDefault="00E21269" w:rsidP="00621FB9">
      <w:pPr>
        <w:spacing w:after="0" w:line="240" w:lineRule="auto"/>
        <w:jc w:val="right"/>
        <w:rPr>
          <w:rFonts w:ascii="Calibri" w:hAnsi="Calibri" w:cs="Calibri"/>
        </w:rPr>
      </w:pPr>
    </w:p>
    <w:p w14:paraId="6B09DE87" w14:textId="1458581B" w:rsidR="00B0022B" w:rsidRPr="00D06A72" w:rsidRDefault="00577D42">
      <w:pPr>
        <w:rPr>
          <w:rFonts w:ascii="Calibri" w:hAnsi="Calibri" w:cs="Calibri"/>
        </w:rPr>
      </w:pPr>
      <w:hyperlink r:id="rId6" w:history="1">
        <w:r w:rsidRPr="00D06A72">
          <w:rPr>
            <w:rStyle w:val="Hyperlink"/>
            <w:rFonts w:ascii="Calibri" w:hAnsi="Calibri" w:cs="Calibri"/>
          </w:rPr>
          <w:t>PRTS-TFL@washingtoncountymn.gov</w:t>
        </w:r>
      </w:hyperlink>
    </w:p>
    <w:p w14:paraId="0352C2C0" w14:textId="1650EC3E" w:rsidR="00E21269" w:rsidRDefault="00E21269">
      <w:pPr>
        <w:rPr>
          <w:rFonts w:ascii="Calibri" w:hAnsi="Calibri" w:cs="Calibri"/>
          <w:sz w:val="20"/>
          <w:szCs w:val="20"/>
        </w:rPr>
      </w:pPr>
    </w:p>
    <w:sectPr w:rsidR="00E21269" w:rsidSect="00D31F9F">
      <w:pgSz w:w="12240" w:h="15840"/>
      <w:pgMar w:top="1440" w:right="1440" w:bottom="126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A2"/>
    <w:rsid w:val="00005D77"/>
    <w:rsid w:val="00016635"/>
    <w:rsid w:val="000244AE"/>
    <w:rsid w:val="00035AA3"/>
    <w:rsid w:val="00043E35"/>
    <w:rsid w:val="000476D1"/>
    <w:rsid w:val="00095413"/>
    <w:rsid w:val="000B24A5"/>
    <w:rsid w:val="000B7FDE"/>
    <w:rsid w:val="000C19E6"/>
    <w:rsid w:val="000E072F"/>
    <w:rsid w:val="000F6CAC"/>
    <w:rsid w:val="00101D0A"/>
    <w:rsid w:val="00123E0B"/>
    <w:rsid w:val="00136C39"/>
    <w:rsid w:val="001409F4"/>
    <w:rsid w:val="00140E33"/>
    <w:rsid w:val="001776C4"/>
    <w:rsid w:val="00182AD5"/>
    <w:rsid w:val="00183386"/>
    <w:rsid w:val="001A1304"/>
    <w:rsid w:val="001C71CF"/>
    <w:rsid w:val="00201DA5"/>
    <w:rsid w:val="00217C3F"/>
    <w:rsid w:val="00227835"/>
    <w:rsid w:val="00233D1D"/>
    <w:rsid w:val="00240A3E"/>
    <w:rsid w:val="00264DAD"/>
    <w:rsid w:val="0026558A"/>
    <w:rsid w:val="0027274C"/>
    <w:rsid w:val="002A6F02"/>
    <w:rsid w:val="002A7068"/>
    <w:rsid w:val="002B180C"/>
    <w:rsid w:val="002C7AA9"/>
    <w:rsid w:val="002F2909"/>
    <w:rsid w:val="00335A90"/>
    <w:rsid w:val="0037002C"/>
    <w:rsid w:val="003832B2"/>
    <w:rsid w:val="00384E7F"/>
    <w:rsid w:val="003855EB"/>
    <w:rsid w:val="00397FF5"/>
    <w:rsid w:val="003B695A"/>
    <w:rsid w:val="003C52B8"/>
    <w:rsid w:val="003E06C1"/>
    <w:rsid w:val="003E19B1"/>
    <w:rsid w:val="003F3981"/>
    <w:rsid w:val="00410960"/>
    <w:rsid w:val="004211EE"/>
    <w:rsid w:val="0042321E"/>
    <w:rsid w:val="0043050E"/>
    <w:rsid w:val="0044130C"/>
    <w:rsid w:val="004612B2"/>
    <w:rsid w:val="004638F2"/>
    <w:rsid w:val="004765E8"/>
    <w:rsid w:val="004A2D88"/>
    <w:rsid w:val="004A4DCD"/>
    <w:rsid w:val="004B31FF"/>
    <w:rsid w:val="004C086C"/>
    <w:rsid w:val="004E1372"/>
    <w:rsid w:val="00502CCE"/>
    <w:rsid w:val="00507919"/>
    <w:rsid w:val="00521645"/>
    <w:rsid w:val="00527E9C"/>
    <w:rsid w:val="00535AA5"/>
    <w:rsid w:val="00540128"/>
    <w:rsid w:val="00571D8D"/>
    <w:rsid w:val="005753B0"/>
    <w:rsid w:val="00577D42"/>
    <w:rsid w:val="0058380D"/>
    <w:rsid w:val="005C03ED"/>
    <w:rsid w:val="005D2F63"/>
    <w:rsid w:val="005F0466"/>
    <w:rsid w:val="00616DEC"/>
    <w:rsid w:val="00621FB9"/>
    <w:rsid w:val="0064052A"/>
    <w:rsid w:val="00652D15"/>
    <w:rsid w:val="006609F1"/>
    <w:rsid w:val="00683AB9"/>
    <w:rsid w:val="006C5896"/>
    <w:rsid w:val="006E0630"/>
    <w:rsid w:val="00701429"/>
    <w:rsid w:val="007205C3"/>
    <w:rsid w:val="00752A4F"/>
    <w:rsid w:val="00755B44"/>
    <w:rsid w:val="00760E19"/>
    <w:rsid w:val="00772E3A"/>
    <w:rsid w:val="00773691"/>
    <w:rsid w:val="0079098A"/>
    <w:rsid w:val="007A3206"/>
    <w:rsid w:val="007A563F"/>
    <w:rsid w:val="007C3550"/>
    <w:rsid w:val="007D45E4"/>
    <w:rsid w:val="007D4C0A"/>
    <w:rsid w:val="007E3D7C"/>
    <w:rsid w:val="00802B7B"/>
    <w:rsid w:val="00810CEE"/>
    <w:rsid w:val="00812434"/>
    <w:rsid w:val="008225EF"/>
    <w:rsid w:val="008228F4"/>
    <w:rsid w:val="00843395"/>
    <w:rsid w:val="008466DF"/>
    <w:rsid w:val="008617FA"/>
    <w:rsid w:val="00870539"/>
    <w:rsid w:val="00881720"/>
    <w:rsid w:val="00884CC4"/>
    <w:rsid w:val="00884E26"/>
    <w:rsid w:val="00896440"/>
    <w:rsid w:val="008A41A2"/>
    <w:rsid w:val="008B61A2"/>
    <w:rsid w:val="008D451E"/>
    <w:rsid w:val="008F2733"/>
    <w:rsid w:val="00910C02"/>
    <w:rsid w:val="00926018"/>
    <w:rsid w:val="00932788"/>
    <w:rsid w:val="009451CA"/>
    <w:rsid w:val="0094566C"/>
    <w:rsid w:val="009C4CC5"/>
    <w:rsid w:val="00A03A1D"/>
    <w:rsid w:val="00A049B2"/>
    <w:rsid w:val="00A209F3"/>
    <w:rsid w:val="00A27628"/>
    <w:rsid w:val="00A27D1E"/>
    <w:rsid w:val="00A36951"/>
    <w:rsid w:val="00A53A9C"/>
    <w:rsid w:val="00A541A8"/>
    <w:rsid w:val="00AA5ABE"/>
    <w:rsid w:val="00AA75E0"/>
    <w:rsid w:val="00AC34B1"/>
    <w:rsid w:val="00AC4ADF"/>
    <w:rsid w:val="00AD2AED"/>
    <w:rsid w:val="00AE33A1"/>
    <w:rsid w:val="00AE6E45"/>
    <w:rsid w:val="00AF109C"/>
    <w:rsid w:val="00AF25FA"/>
    <w:rsid w:val="00B0022B"/>
    <w:rsid w:val="00B06B0A"/>
    <w:rsid w:val="00B112A1"/>
    <w:rsid w:val="00B1668C"/>
    <w:rsid w:val="00B23A93"/>
    <w:rsid w:val="00B613D8"/>
    <w:rsid w:val="00B82DF4"/>
    <w:rsid w:val="00B91643"/>
    <w:rsid w:val="00BB2114"/>
    <w:rsid w:val="00BC630A"/>
    <w:rsid w:val="00BD73E5"/>
    <w:rsid w:val="00C05CA2"/>
    <w:rsid w:val="00C3542C"/>
    <w:rsid w:val="00C4702A"/>
    <w:rsid w:val="00C71F18"/>
    <w:rsid w:val="00C80170"/>
    <w:rsid w:val="00CA5C69"/>
    <w:rsid w:val="00CA7735"/>
    <w:rsid w:val="00CB3CE5"/>
    <w:rsid w:val="00CF215D"/>
    <w:rsid w:val="00CF2281"/>
    <w:rsid w:val="00D06A72"/>
    <w:rsid w:val="00D26F7C"/>
    <w:rsid w:val="00D27214"/>
    <w:rsid w:val="00D30822"/>
    <w:rsid w:val="00D31F9F"/>
    <w:rsid w:val="00D41E2D"/>
    <w:rsid w:val="00D45522"/>
    <w:rsid w:val="00D53B78"/>
    <w:rsid w:val="00D56529"/>
    <w:rsid w:val="00D87AB3"/>
    <w:rsid w:val="00D87DCA"/>
    <w:rsid w:val="00DC6232"/>
    <w:rsid w:val="00DE6E2B"/>
    <w:rsid w:val="00DE73DF"/>
    <w:rsid w:val="00DF1671"/>
    <w:rsid w:val="00DF1EFA"/>
    <w:rsid w:val="00E134E7"/>
    <w:rsid w:val="00E13642"/>
    <w:rsid w:val="00E21269"/>
    <w:rsid w:val="00E437E4"/>
    <w:rsid w:val="00E510D5"/>
    <w:rsid w:val="00E57244"/>
    <w:rsid w:val="00E63AA1"/>
    <w:rsid w:val="00E80F4A"/>
    <w:rsid w:val="00E817D2"/>
    <w:rsid w:val="00E96DB8"/>
    <w:rsid w:val="00F134AE"/>
    <w:rsid w:val="00F529C0"/>
    <w:rsid w:val="00F56298"/>
    <w:rsid w:val="00F919FE"/>
    <w:rsid w:val="00F92E67"/>
    <w:rsid w:val="00F95B02"/>
    <w:rsid w:val="00FB2537"/>
    <w:rsid w:val="00FB77C4"/>
    <w:rsid w:val="00FC0699"/>
    <w:rsid w:val="00FE32C8"/>
    <w:rsid w:val="00FE3E38"/>
    <w:rsid w:val="00FF5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436A71"/>
  <w15:chartTrackingRefBased/>
  <w15:docId w15:val="{DF25BE64-8039-42CD-B740-E0CAB526A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1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61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1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1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1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1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1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1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1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1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61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1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1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1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1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1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1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1A2"/>
    <w:rPr>
      <w:rFonts w:eastAsiaTheme="majorEastAsia" w:cstheme="majorBidi"/>
      <w:color w:val="272727" w:themeColor="text1" w:themeTint="D8"/>
    </w:rPr>
  </w:style>
  <w:style w:type="paragraph" w:styleId="Title">
    <w:name w:val="Title"/>
    <w:basedOn w:val="Normal"/>
    <w:next w:val="Normal"/>
    <w:link w:val="TitleChar"/>
    <w:uiPriority w:val="10"/>
    <w:qFormat/>
    <w:rsid w:val="008B61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1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1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1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1A2"/>
    <w:pPr>
      <w:spacing w:before="160"/>
      <w:jc w:val="center"/>
    </w:pPr>
    <w:rPr>
      <w:i/>
      <w:iCs/>
      <w:color w:val="404040" w:themeColor="text1" w:themeTint="BF"/>
    </w:rPr>
  </w:style>
  <w:style w:type="character" w:customStyle="1" w:styleId="QuoteChar">
    <w:name w:val="Quote Char"/>
    <w:basedOn w:val="DefaultParagraphFont"/>
    <w:link w:val="Quote"/>
    <w:uiPriority w:val="29"/>
    <w:rsid w:val="008B61A2"/>
    <w:rPr>
      <w:i/>
      <w:iCs/>
      <w:color w:val="404040" w:themeColor="text1" w:themeTint="BF"/>
    </w:rPr>
  </w:style>
  <w:style w:type="paragraph" w:styleId="ListParagraph">
    <w:name w:val="List Paragraph"/>
    <w:basedOn w:val="Normal"/>
    <w:uiPriority w:val="34"/>
    <w:qFormat/>
    <w:rsid w:val="008B61A2"/>
    <w:pPr>
      <w:ind w:left="720"/>
      <w:contextualSpacing/>
    </w:pPr>
  </w:style>
  <w:style w:type="character" w:styleId="IntenseEmphasis">
    <w:name w:val="Intense Emphasis"/>
    <w:basedOn w:val="DefaultParagraphFont"/>
    <w:uiPriority w:val="21"/>
    <w:qFormat/>
    <w:rsid w:val="008B61A2"/>
    <w:rPr>
      <w:i/>
      <w:iCs/>
      <w:color w:val="0F4761" w:themeColor="accent1" w:themeShade="BF"/>
    </w:rPr>
  </w:style>
  <w:style w:type="paragraph" w:styleId="IntenseQuote">
    <w:name w:val="Intense Quote"/>
    <w:basedOn w:val="Normal"/>
    <w:next w:val="Normal"/>
    <w:link w:val="IntenseQuoteChar"/>
    <w:uiPriority w:val="30"/>
    <w:qFormat/>
    <w:rsid w:val="008B61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1A2"/>
    <w:rPr>
      <w:i/>
      <w:iCs/>
      <w:color w:val="0F4761" w:themeColor="accent1" w:themeShade="BF"/>
    </w:rPr>
  </w:style>
  <w:style w:type="character" w:styleId="IntenseReference">
    <w:name w:val="Intense Reference"/>
    <w:basedOn w:val="DefaultParagraphFont"/>
    <w:uiPriority w:val="32"/>
    <w:qFormat/>
    <w:rsid w:val="008B61A2"/>
    <w:rPr>
      <w:b/>
      <w:bCs/>
      <w:smallCaps/>
      <w:color w:val="0F4761" w:themeColor="accent1" w:themeShade="BF"/>
      <w:spacing w:val="5"/>
    </w:rPr>
  </w:style>
  <w:style w:type="character" w:styleId="Hyperlink">
    <w:name w:val="Hyperlink"/>
    <w:basedOn w:val="DefaultParagraphFont"/>
    <w:uiPriority w:val="99"/>
    <w:unhideWhenUsed/>
    <w:rsid w:val="008B61A2"/>
    <w:rPr>
      <w:color w:val="467886" w:themeColor="hyperlink"/>
      <w:u w:val="single"/>
    </w:rPr>
  </w:style>
  <w:style w:type="character" w:styleId="UnresolvedMention">
    <w:name w:val="Unresolved Mention"/>
    <w:basedOn w:val="DefaultParagraphFont"/>
    <w:uiPriority w:val="99"/>
    <w:semiHidden/>
    <w:unhideWhenUsed/>
    <w:rsid w:val="008B61A2"/>
    <w:rPr>
      <w:color w:val="605E5C"/>
      <w:shd w:val="clear" w:color="auto" w:fill="E1DFDD"/>
    </w:rPr>
  </w:style>
  <w:style w:type="table" w:styleId="TableGrid">
    <w:name w:val="Table Grid"/>
    <w:basedOn w:val="TableNormal"/>
    <w:uiPriority w:val="39"/>
    <w:rsid w:val="00F91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05CA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140469">
      <w:bodyDiv w:val="1"/>
      <w:marLeft w:val="0"/>
      <w:marRight w:val="0"/>
      <w:marTop w:val="0"/>
      <w:marBottom w:val="0"/>
      <w:divBdr>
        <w:top w:val="none" w:sz="0" w:space="0" w:color="auto"/>
        <w:left w:val="none" w:sz="0" w:space="0" w:color="auto"/>
        <w:bottom w:val="none" w:sz="0" w:space="0" w:color="auto"/>
        <w:right w:val="none" w:sz="0" w:space="0" w:color="auto"/>
      </w:divBdr>
    </w:div>
    <w:div w:id="872157349">
      <w:bodyDiv w:val="1"/>
      <w:marLeft w:val="0"/>
      <w:marRight w:val="0"/>
      <w:marTop w:val="0"/>
      <w:marBottom w:val="0"/>
      <w:divBdr>
        <w:top w:val="none" w:sz="0" w:space="0" w:color="auto"/>
        <w:left w:val="none" w:sz="0" w:space="0" w:color="auto"/>
        <w:bottom w:val="none" w:sz="0" w:space="0" w:color="auto"/>
        <w:right w:val="none" w:sz="0" w:space="0" w:color="auto"/>
      </w:divBdr>
    </w:div>
    <w:div w:id="1209681876">
      <w:bodyDiv w:val="1"/>
      <w:marLeft w:val="0"/>
      <w:marRight w:val="0"/>
      <w:marTop w:val="0"/>
      <w:marBottom w:val="0"/>
      <w:divBdr>
        <w:top w:val="none" w:sz="0" w:space="0" w:color="auto"/>
        <w:left w:val="none" w:sz="0" w:space="0" w:color="auto"/>
        <w:bottom w:val="none" w:sz="0" w:space="0" w:color="auto"/>
        <w:right w:val="none" w:sz="0" w:space="0" w:color="auto"/>
      </w:divBdr>
    </w:div>
    <w:div w:id="139277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TS-TFL@washingtoncountymn.gov" TargetMode="Externa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Hailee Hennessy Dhein</dc:creator>
  <cp:keywords/>
  <dc:description/>
  <cp:lastModifiedBy>Hailee Hennessy Dhein</cp:lastModifiedBy>
  <cp:revision>2</cp:revision>
  <cp:lastPrinted>2024-11-14T20:47:00Z</cp:lastPrinted>
  <dcterms:created xsi:type="dcterms:W3CDTF">2026-01-29T17:33:00Z</dcterms:created>
  <dcterms:modified xsi:type="dcterms:W3CDTF">2026-01-29T17:33:00Z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0ff043a9-2733-44eb-863e-7a50e7a705b7</vt:lpwstr>
  </property>
</Properties>
</file>